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720"/>
      </w:pPr>
    </w:p>
    <w:p>
      <w:pPr>
        <w:spacing w:after="40" w:before="40"/>
        <w:jc w:val="center"/>
      </w:pPr>
      <w:r>
        <w:rPr>
          <w:rFonts w:ascii="Arial" w:cs="Arial" w:eastAsia="Arial" w:hAnsi="Arial"/>
          <w:b/>
          <w:bCs/>
          <w:color w:val="0A1628"/>
          <w:sz w:val="80"/>
          <w:szCs w:val="80"/>
        </w:rPr>
        <w:t xml:space="preserve">DEcntAI</w:t>
      </w:r>
    </w:p>
    <w:p>
      <w:pPr>
        <w:spacing w:after="40" w:before="40"/>
        <w:jc w:val="center"/>
      </w:pPr>
      <w:r>
        <w:rPr>
          <w:rFonts w:ascii="Arial" w:cs="Arial" w:eastAsia="Arial" w:hAnsi="Arial"/>
          <w:b w:val="false"/>
          <w:bCs w:val="false"/>
          <w:color w:val="00B4D8"/>
          <w:sz w:val="24"/>
          <w:szCs w:val="24"/>
        </w:rPr>
        <w:t xml:space="preserve">DECENTRALIZED AI COMPUTE INFRASTRUCTURE</w:t>
      </w:r>
    </w:p>
    <w:p>
      <w:pPr>
        <w:spacing w:after="0" w:before="120"/>
      </w:pPr>
    </w:p>
    <w:p>
      <w:pPr>
        <w:pBdr>
          <w:bottom w:val="single" w:color="E2E8F0" w:sz="2" w:space="1"/>
        </w:pBdr>
        <w:spacing w:after="240" w:before="240"/>
      </w:pPr>
    </w:p>
    <w:p>
      <w:pPr>
        <w:spacing w:after="0" w:before="80"/>
      </w:pPr>
    </w:p>
    <w:p>
      <w:pPr>
        <w:spacing w:after="40" w:before="40"/>
        <w:jc w:val="center"/>
      </w:pPr>
      <w:r>
        <w:rPr>
          <w:rFonts w:ascii="Arial" w:cs="Arial" w:eastAsia="Arial" w:hAnsi="Arial"/>
          <w:b w:val="false"/>
          <w:bCs w:val="false"/>
          <w:color w:val="64748B"/>
          <w:sz w:val="26"/>
          <w:szCs w:val="26"/>
        </w:rPr>
        <w:t xml:space="preserve">Whitepaper v2.0</w:t>
      </w:r>
    </w:p>
    <w:p>
      <w:pPr>
        <w:spacing w:after="40" w:before="40"/>
        <w:jc w:val="center"/>
      </w:pPr>
      <w:r>
        <w:rPr>
          <w:rFonts w:ascii="Arial" w:cs="Arial" w:eastAsia="Arial" w:hAnsi="Arial"/>
          <w:b w:val="false"/>
          <w:bCs w:val="false"/>
          <w:color w:val="64748B"/>
          <w:sz w:val="22"/>
          <w:szCs w:val="22"/>
        </w:rPr>
        <w:t xml:space="preserve">April 2026</w:t>
      </w:r>
    </w:p>
    <w:p>
      <w:pPr>
        <w:spacing w:after="0" w:before="80"/>
      </w:pPr>
    </w:p>
    <w:p>
      <w:pPr>
        <w:spacing w:after="40" w:before="40"/>
        <w:jc w:val="center"/>
      </w:pPr>
      <w:r>
        <w:rPr>
          <w:rFonts w:ascii="Arial" w:cs="Arial" w:eastAsia="Arial" w:hAnsi="Arial"/>
          <w:b w:val="false"/>
          <w:bCs w:val="false"/>
          <w:color w:val="475569"/>
          <w:sz w:val="22"/>
          <w:szCs w:val="22"/>
        </w:rPr>
        <w:t xml:space="preserve">"The future of AI is not owned by corporations.</w:t>
      </w:r>
    </w:p>
    <w:p>
      <w:pPr>
        <w:spacing w:after="40" w:before="40"/>
        <w:jc w:val="center"/>
      </w:pPr>
      <w:r>
        <w:rPr>
          <w:rFonts w:ascii="Arial" w:cs="Arial" w:eastAsia="Arial" w:hAnsi="Arial"/>
          <w:b w:val="false"/>
          <w:bCs w:val="false"/>
          <w:color w:val="475569"/>
          <w:sz w:val="22"/>
          <w:szCs w:val="22"/>
        </w:rPr>
        <w:t xml:space="preserve">It is shared by everyone who contributes to it."</w:t>
      </w:r>
    </w:p>
    <w:p>
      <w:pPr>
        <w:spacing w:after="0" w:before="4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single" w:color="00B4D8" w:sz="8"/>
              <w:bottom w:val="none" w:color="FFFFFF" w:sz="0"/>
              <w:right w:val="none" w:color="FFFFFF" w:sz="0"/>
            </w:tcBorders>
            <w:tcMar>
              <w:top w:type="dxa" w:w="60"/>
              <w:left w:type="dxa" w:w="160"/>
              <w:bottom w:type="dxa" w:w="60"/>
              <w:right w:type="dxa" w:w="80"/>
            </w:tcMar>
          </w:tcPr>
          <w:p>
            <w:r>
              <w:rPr>
                <w:rFonts w:ascii="Arial" w:cs="Arial" w:eastAsia="Arial" w:hAnsi="Arial"/>
                <w:b/>
                <w:bCs/>
                <w:color w:val="00B4D8"/>
                <w:sz w:val="18"/>
                <w:szCs w:val="18"/>
              </w:rPr>
              <w:t xml:space="preserve">Platform</w:t>
            </w:r>
          </w:p>
          <w:p>
            <w:r>
              <w:rPr>
                <w:rFonts w:ascii="Arial" w:cs="Arial" w:eastAsia="Arial" w:hAnsi="Arial"/>
                <w:color w:val="0A1628"/>
                <w:sz w:val="20"/>
                <w:szCs w:val="20"/>
              </w:rPr>
              <w:t xml:space="preserve">ai.decntai.com</w:t>
            </w:r>
          </w:p>
        </w:tc>
        <w:tc>
          <w:tcPr>
            <w:tcW w:type="dxa" w:w="3120"/>
            <w:tcBorders>
              <w:top w:val="none" w:color="FFFFFF" w:sz="0"/>
              <w:left w:val="single" w:color="00B4D8" w:sz="8"/>
              <w:bottom w:val="none" w:color="FFFFFF" w:sz="0"/>
              <w:right w:val="none" w:color="FFFFFF" w:sz="0"/>
            </w:tcBorders>
            <w:tcMar>
              <w:top w:type="dxa" w:w="60"/>
              <w:left w:type="dxa" w:w="160"/>
              <w:bottom w:type="dxa" w:w="60"/>
              <w:right w:type="dxa" w:w="80"/>
            </w:tcMar>
          </w:tcPr>
          <w:p>
            <w:r>
              <w:rPr>
                <w:rFonts w:ascii="Arial" w:cs="Arial" w:eastAsia="Arial" w:hAnsi="Arial"/>
                <w:b/>
                <w:bCs/>
                <w:color w:val="00B4D8"/>
                <w:sz w:val="18"/>
                <w:szCs w:val="18"/>
              </w:rPr>
              <w:t xml:space="preserve">ICO</w:t>
            </w:r>
          </w:p>
          <w:p>
            <w:r>
              <w:rPr>
                <w:rFonts w:ascii="Arial" w:cs="Arial" w:eastAsia="Arial" w:hAnsi="Arial"/>
                <w:color w:val="0A1628"/>
                <w:sz w:val="20"/>
                <w:szCs w:val="20"/>
              </w:rPr>
              <w:t xml:space="preserve">ico.decntai.com</w:t>
            </w:r>
          </w:p>
        </w:tc>
        <w:tc>
          <w:tcPr>
            <w:tcW w:type="dxa" w:w="3120"/>
            <w:tcBorders>
              <w:top w:val="none" w:color="FFFFFF" w:sz="0"/>
              <w:left w:val="single" w:color="00B4D8" w:sz="8"/>
              <w:bottom w:val="none" w:color="FFFFFF" w:sz="0"/>
              <w:right w:val="none" w:color="FFFFFF" w:sz="0"/>
            </w:tcBorders>
            <w:tcMar>
              <w:top w:type="dxa" w:w="60"/>
              <w:left w:type="dxa" w:w="160"/>
              <w:bottom w:type="dxa" w:w="60"/>
              <w:right w:type="dxa" w:w="80"/>
            </w:tcMar>
          </w:tcPr>
          <w:p>
            <w:r>
              <w:rPr>
                <w:rFonts w:ascii="Arial" w:cs="Arial" w:eastAsia="Arial" w:hAnsi="Arial"/>
                <w:b/>
                <w:bCs/>
                <w:color w:val="00B4D8"/>
                <w:sz w:val="18"/>
                <w:szCs w:val="18"/>
              </w:rPr>
              <w:t xml:space="preserve">Token</w:t>
            </w:r>
          </w:p>
          <w:p>
            <w:r>
              <w:rPr>
                <w:rFonts w:ascii="Arial" w:cs="Arial" w:eastAsia="Arial" w:hAnsi="Arial"/>
                <w:color w:val="0A1628"/>
                <w:sz w:val="20"/>
                <w:szCs w:val="20"/>
              </w:rPr>
              <w:t xml:space="preserve">DECNT / Solana</w:t>
            </w:r>
          </w:p>
        </w:tc>
      </w:tr>
    </w:tbl>
    <w:p>
      <w:r>
        <w:br/>
      </w:r>
    </w:p>
    <w:p>
      <w:pPr>
        <w:pStyle w:val="Heading1"/>
        <w:pBdr>
          <w:bottom w:val="single" w:color="00B4D8" w:sz="6" w:space="4"/>
        </w:pBdr>
        <w:spacing w:after="120" w:before="480"/>
      </w:pPr>
      <w:r>
        <w:rPr>
          <w:rFonts w:ascii="Arial" w:cs="Arial" w:eastAsia="Arial" w:hAnsi="Arial"/>
          <w:b/>
          <w:bCs/>
          <w:color w:val="0A1628"/>
          <w:sz w:val="34"/>
          <w:szCs w:val="34"/>
        </w:rPr>
        <w:t xml:space="preserve">Executive Summary</w:t>
      </w:r>
    </w:p>
    <w:p>
      <w:pPr>
        <w:spacing w:after="80" w:before="60"/>
      </w:pPr>
      <w:r>
        <w:rPr>
          <w:rFonts w:ascii="Arial" w:cs="Arial" w:eastAsia="Arial" w:hAnsi="Arial"/>
          <w:color w:val="1E293B"/>
          <w:sz w:val="22"/>
          <w:szCs w:val="22"/>
        </w:rPr>
        <w:t xml:space="preserve">Artificial intelligence is the defining technology of the 21st century. Yet the infrastructure that powers it — the servers, the compute, the model weights — is owned by a handful of corporations whose interests are not aligned with those of the individuals who use it.</w:t>
      </w:r>
    </w:p>
    <w:p>
      <w:pPr>
        <w:spacing w:after="80" w:before="60"/>
      </w:pPr>
      <w:r>
        <w:rPr>
          <w:rFonts w:ascii="Arial" w:cs="Arial" w:eastAsia="Arial" w:hAnsi="Arial"/>
          <w:color w:val="1E293B"/>
          <w:sz w:val="22"/>
          <w:szCs w:val="22"/>
        </w:rPr>
        <w:t xml:space="preserve">DEcentAI is a decentralized AI compute marketplace built on Solana. It enables anyone with a capable computer to earn DECNT tokens by serving AI inference requests, and enables any user to access AI privately, at cost, without subscriptions. The platform is live today at ai.decntai.com.</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200"/>
        <w:gridCol w:w="9160"/>
      </w:tblGrid>
      <w:tr>
        <w:tc>
          <w:tcPr>
            <w:tcW w:type="dxa" w:w="200"/>
            <w:tcBorders>
              <w:top w:val="none" w:color="FFFFFF" w:sz="0"/>
              <w:left w:val="none" w:color="FFFFFF" w:sz="0"/>
              <w:bottom w:val="none" w:color="FFFFFF" w:sz="0"/>
              <w:right w:val="none" w:color="FFFFFF" w:sz="0"/>
            </w:tcBorders>
            <w:shd w:fill="00B4D8" w:val="clear"/>
          </w:tcPr>
          <w:p/>
        </w:tc>
        <w:tc>
          <w:tcPr>
            <w:tcW w:type="dxa" w:w="9160"/>
            <w:tcBorders>
              <w:top w:val="none" w:color="FFFFFF" w:sz="0"/>
              <w:left w:val="single" w:color="00B4D8" w:sz="12"/>
              <w:bottom w:val="none" w:color="FFFFFF" w:sz="0"/>
              <w:right w:val="none" w:color="FFFFFF" w:sz="0"/>
            </w:tcBorders>
            <w:shd w:fill="F8FAFC" w:val="clear"/>
            <w:tcMar>
              <w:top w:type="dxa" w:w="80"/>
              <w:left w:type="dxa" w:w="200"/>
              <w:bottom w:type="dxa" w:w="80"/>
              <w:right w:type="dxa" w:w="120"/>
            </w:tcMar>
          </w:tcPr>
          <w:p>
            <w:pPr>
              <w:spacing w:after="40" w:before="0"/>
            </w:pPr>
            <w:r>
              <w:rPr>
                <w:rFonts w:ascii="Arial" w:cs="Arial" w:eastAsia="Arial" w:hAnsi="Arial"/>
                <w:b/>
                <w:bCs/>
                <w:color w:val="00B4D8"/>
                <w:sz w:val="18"/>
                <w:szCs w:val="18"/>
              </w:rPr>
              <w:t xml:space="preserve">Core Thesis</w:t>
            </w:r>
          </w:p>
          <w:p>
            <w:pPr>
              <w:spacing w:after="0" w:before="0"/>
            </w:pPr>
            <w:r>
              <w:rPr>
                <w:rFonts w:ascii="Arial" w:cs="Arial" w:eastAsia="Arial" w:hAnsi="Arial"/>
                <w:color w:val="334155"/>
                <w:sz w:val="20"/>
                <w:szCs w:val="20"/>
              </w:rPr>
              <w:t xml:space="preserve">AI compute is a commodity. Like bandwidth or cloud storage before it, compute should be freely marketable — priced by the unit, not the month. DEcentAI creates the infrastructure for that market.</w:t>
            </w:r>
          </w:p>
        </w:tc>
      </w:tr>
    </w:tbl>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1" w:sz="1"/>
              <w:left w:val="single" w:color="CBD5E1" w:sz="1"/>
              <w:bottom w:val="single" w:color="CBD5E1" w:sz="1"/>
              <w:right w:val="single" w:color="CBD5E1" w:sz="1"/>
            </w:tcBorders>
            <w:shd w:fill="F8FAFC" w:val="clear"/>
            <w:tcMar>
              <w:top w:type="dxa" w:w="120"/>
              <w:left w:type="dxa" w:w="120"/>
              <w:bottom w:type="dxa" w:w="120"/>
              <w:right w:type="dxa" w:w="120"/>
            </w:tcMar>
          </w:tcPr>
          <w:p>
            <w:pPr>
              <w:jc w:val="center"/>
            </w:pPr>
            <w:r>
              <w:rPr>
                <w:rFonts w:ascii="Arial" w:cs="Arial" w:eastAsia="Arial" w:hAnsi="Arial"/>
                <w:b/>
                <w:bCs/>
                <w:color w:val="00B4D8"/>
                <w:sz w:val="40"/>
                <w:szCs w:val="40"/>
              </w:rPr>
              <w:t xml:space="preserve">1B</w:t>
            </w:r>
          </w:p>
          <w:p>
            <w:pPr>
              <w:jc w:val="center"/>
            </w:pPr>
            <w:r>
              <w:rPr>
                <w:rFonts w:ascii="Arial" w:cs="Arial" w:eastAsia="Arial" w:hAnsi="Arial"/>
                <w:b/>
                <w:bCs/>
                <w:color w:val="0A1628"/>
                <w:sz w:val="22"/>
                <w:szCs w:val="22"/>
              </w:rPr>
              <w:t xml:space="preserve">DECNT</w:t>
            </w:r>
          </w:p>
          <w:p>
            <w:pPr>
              <w:jc w:val="center"/>
            </w:pPr>
            <w:r>
              <w:rPr>
                <w:rFonts w:ascii="Arial" w:cs="Arial" w:eastAsia="Arial" w:hAnsi="Arial"/>
                <w:color w:val="64748B"/>
                <w:sz w:val="18"/>
                <w:szCs w:val="18"/>
              </w:rPr>
              <w:t xml:space="preserve">Total Supply</w:t>
            </w:r>
          </w:p>
          <w:p>
            <w:pPr>
              <w:jc w:val="center"/>
            </w:pPr>
            <w:r>
              <w:rPr>
                <w:rFonts w:ascii="Arial" w:cs="Arial" w:eastAsia="Arial" w:hAnsi="Arial"/>
                <w:i/>
                <w:iCs/>
                <w:color w:val="10B981"/>
                <w:sz w:val="16"/>
                <w:szCs w:val="16"/>
              </w:rPr>
              <w:t xml:space="preserve">Fixed forever</w:t>
            </w:r>
          </w:p>
        </w:tc>
        <w:tc>
          <w:tcPr>
            <w:tcW w:type="dxa" w:w="2340"/>
            <w:tcBorders>
              <w:top w:val="single" w:color="CBD5E1" w:sz="1"/>
              <w:left w:val="single" w:color="CBD5E1" w:sz="1"/>
              <w:bottom w:val="single" w:color="CBD5E1" w:sz="1"/>
              <w:right w:val="single" w:color="CBD5E1" w:sz="1"/>
            </w:tcBorders>
            <w:shd w:fill="F8FAFC" w:val="clear"/>
            <w:tcMar>
              <w:top w:type="dxa" w:w="120"/>
              <w:left w:type="dxa" w:w="120"/>
              <w:bottom w:type="dxa" w:w="120"/>
              <w:right w:type="dxa" w:w="120"/>
            </w:tcMar>
          </w:tcPr>
          <w:p>
            <w:pPr>
              <w:jc w:val="center"/>
            </w:pPr>
            <w:r>
              <w:rPr>
                <w:rFonts w:ascii="Arial" w:cs="Arial" w:eastAsia="Arial" w:hAnsi="Arial"/>
                <w:b/>
                <w:bCs/>
                <w:color w:val="00B4D8"/>
                <w:sz w:val="40"/>
                <w:szCs w:val="40"/>
              </w:rPr>
              <w:t xml:space="preserve">80%</w:t>
            </w:r>
          </w:p>
          <w:p>
            <w:pPr>
              <w:jc w:val="center"/>
            </w:pPr>
            <w:r>
              <w:rPr>
                <w:rFonts w:ascii="Arial" w:cs="Arial" w:eastAsia="Arial" w:hAnsi="Arial"/>
                <w:b/>
                <w:bCs/>
                <w:color w:val="0A1628"/>
                <w:sz w:val="22"/>
                <w:szCs w:val="22"/>
              </w:rPr>
              <w:t xml:space="preserve">Host Share</w:t>
            </w:r>
          </w:p>
          <w:p>
            <w:pPr>
              <w:jc w:val="center"/>
            </w:pPr>
            <w:r>
              <w:rPr>
                <w:rFonts w:ascii="Arial" w:cs="Arial" w:eastAsia="Arial" w:hAnsi="Arial"/>
                <w:color w:val="64748B"/>
                <w:sz w:val="18"/>
                <w:szCs w:val="18"/>
              </w:rPr>
              <w:t xml:space="preserve">Of every prompt fee</w:t>
            </w:r>
          </w:p>
          <w:p>
            <w:pPr>
              <w:jc w:val="center"/>
            </w:pPr>
            <w:r>
              <w:rPr>
                <w:rFonts w:ascii="Arial" w:cs="Arial" w:eastAsia="Arial" w:hAnsi="Arial"/>
                <w:i/>
                <w:iCs/>
                <w:color w:val="10B981"/>
                <w:sz w:val="16"/>
                <w:szCs w:val="16"/>
              </w:rPr>
              <w:t xml:space="preserve">Paid instantly</w:t>
            </w:r>
          </w:p>
        </w:tc>
        <w:tc>
          <w:tcPr>
            <w:tcW w:type="dxa" w:w="2340"/>
            <w:tcBorders>
              <w:top w:val="single" w:color="CBD5E1" w:sz="1"/>
              <w:left w:val="single" w:color="CBD5E1" w:sz="1"/>
              <w:bottom w:val="single" w:color="CBD5E1" w:sz="1"/>
              <w:right w:val="single" w:color="CBD5E1" w:sz="1"/>
            </w:tcBorders>
            <w:shd w:fill="F8FAFC" w:val="clear"/>
            <w:tcMar>
              <w:top w:type="dxa" w:w="120"/>
              <w:left w:type="dxa" w:w="120"/>
              <w:bottom w:type="dxa" w:w="120"/>
              <w:right w:type="dxa" w:w="120"/>
            </w:tcMar>
          </w:tcPr>
          <w:p>
            <w:pPr>
              <w:jc w:val="center"/>
            </w:pPr>
            <w:r>
              <w:rPr>
                <w:rFonts w:ascii="Arial" w:cs="Arial" w:eastAsia="Arial" w:hAnsi="Arial"/>
                <w:b/>
                <w:bCs/>
                <w:color w:val="00B4D8"/>
                <w:sz w:val="40"/>
                <w:szCs w:val="40"/>
              </w:rPr>
              <w:t xml:space="preserve">1%</w:t>
            </w:r>
          </w:p>
          <w:p>
            <w:pPr>
              <w:jc w:val="center"/>
            </w:pPr>
            <w:r>
              <w:rPr>
                <w:rFonts w:ascii="Arial" w:cs="Arial" w:eastAsia="Arial" w:hAnsi="Arial"/>
                <w:b/>
                <w:bCs/>
                <w:color w:val="0A1628"/>
                <w:sz w:val="22"/>
                <w:szCs w:val="22"/>
              </w:rPr>
              <w:t xml:space="preserve">Referral</w:t>
            </w:r>
          </w:p>
          <w:p>
            <w:pPr>
              <w:jc w:val="center"/>
            </w:pPr>
            <w:r>
              <w:rPr>
                <w:rFonts w:ascii="Arial" w:cs="Arial" w:eastAsia="Arial" w:hAnsi="Arial"/>
                <w:color w:val="64748B"/>
                <w:sz w:val="18"/>
                <w:szCs w:val="18"/>
              </w:rPr>
              <w:t xml:space="preserve">Per referred user prompt</w:t>
            </w:r>
          </w:p>
          <w:p>
            <w:pPr>
              <w:jc w:val="center"/>
            </w:pPr>
            <w:r>
              <w:rPr>
                <w:rFonts w:ascii="Arial" w:cs="Arial" w:eastAsia="Arial" w:hAnsi="Arial"/>
                <w:i/>
                <w:iCs/>
                <w:color w:val="10B981"/>
                <w:sz w:val="16"/>
                <w:szCs w:val="16"/>
              </w:rPr>
              <w:t xml:space="preserve">Passive forever</w:t>
            </w:r>
          </w:p>
        </w:tc>
        <w:tc>
          <w:tcPr>
            <w:tcW w:type="dxa" w:w="2340"/>
            <w:tcBorders>
              <w:top w:val="single" w:color="CBD5E1" w:sz="1"/>
              <w:left w:val="single" w:color="CBD5E1" w:sz="1"/>
              <w:bottom w:val="single" w:color="CBD5E1" w:sz="1"/>
              <w:right w:val="single" w:color="CBD5E1" w:sz="1"/>
            </w:tcBorders>
            <w:shd w:fill="F8FAFC" w:val="clear"/>
            <w:tcMar>
              <w:top w:type="dxa" w:w="120"/>
              <w:left w:type="dxa" w:w="120"/>
              <w:bottom w:type="dxa" w:w="120"/>
              <w:right w:type="dxa" w:w="120"/>
            </w:tcMar>
          </w:tcPr>
          <w:p>
            <w:pPr>
              <w:jc w:val="center"/>
            </w:pPr>
            <w:r>
              <w:rPr>
                <w:rFonts w:ascii="Arial" w:cs="Arial" w:eastAsia="Arial" w:hAnsi="Arial"/>
                <w:b/>
                <w:bCs/>
                <w:color w:val="00B4D8"/>
                <w:sz w:val="40"/>
                <w:szCs w:val="40"/>
              </w:rPr>
              <w:t xml:space="preserve">0.001</w:t>
            </w:r>
          </w:p>
          <w:p>
            <w:pPr>
              <w:jc w:val="center"/>
            </w:pPr>
            <w:r>
              <w:rPr>
                <w:rFonts w:ascii="Arial" w:cs="Arial" w:eastAsia="Arial" w:hAnsi="Arial"/>
                <w:b/>
                <w:bCs/>
                <w:color w:val="0A1628"/>
                <w:sz w:val="22"/>
                <w:szCs w:val="22"/>
              </w:rPr>
              <w:t xml:space="preserve">SOL/1000</w:t>
            </w:r>
          </w:p>
          <w:p>
            <w:pPr>
              <w:jc w:val="center"/>
            </w:pPr>
            <w:r>
              <w:rPr>
                <w:rFonts w:ascii="Arial" w:cs="Arial" w:eastAsia="Arial" w:hAnsi="Arial"/>
                <w:color w:val="64748B"/>
                <w:sz w:val="18"/>
                <w:szCs w:val="18"/>
              </w:rPr>
              <w:t xml:space="preserve">Current ICO price</w:t>
            </w:r>
          </w:p>
          <w:p>
            <w:pPr>
              <w:jc w:val="center"/>
            </w:pPr>
            <w:r>
              <w:rPr>
                <w:rFonts w:ascii="Arial" w:cs="Arial" w:eastAsia="Arial" w:hAnsi="Arial"/>
                <w:i/>
                <w:iCs/>
                <w:color w:val="10B981"/>
                <w:sz w:val="16"/>
                <w:szCs w:val="16"/>
              </w:rPr>
              <w:t xml:space="preserve">+20% early bonus</w:t>
            </w:r>
          </w:p>
        </w:tc>
      </w:tr>
    </w:tbl>
    <w:p>
      <w:r>
        <w:br/>
      </w:r>
    </w:p>
    <w:p>
      <w:pPr>
        <w:pStyle w:val="Heading1"/>
        <w:pBdr>
          <w:bottom w:val="single" w:color="00B4D8" w:sz="6" w:space="4"/>
        </w:pBdr>
        <w:spacing w:after="120" w:before="480"/>
      </w:pPr>
      <w:r>
        <w:rPr>
          <w:rFonts w:ascii="Arial" w:cs="Arial" w:eastAsia="Arial" w:hAnsi="Arial"/>
          <w:b/>
          <w:bCs/>
          <w:color w:val="0A1628"/>
          <w:sz w:val="34"/>
          <w:szCs w:val="34"/>
        </w:rPr>
        <w:t xml:space="preserve">1. The Centralization Problem</w:t>
      </w:r>
    </w:p>
    <w:p>
      <w:pPr>
        <w:pStyle w:val="Heading2"/>
        <w:spacing w:after="100" w:before="320"/>
      </w:pPr>
      <w:r>
        <w:rPr>
          <w:rFonts w:ascii="Arial" w:cs="Arial" w:eastAsia="Arial" w:hAnsi="Arial"/>
          <w:b/>
          <w:bCs/>
          <w:color w:val="0A1628"/>
          <w:sz w:val="26"/>
          <w:szCs w:val="26"/>
        </w:rPr>
        <w:t xml:space="preserve">1.1 The Current State of AI Infrastructure</w:t>
      </w:r>
    </w:p>
    <w:p>
      <w:pPr>
        <w:spacing w:after="80" w:before="60"/>
      </w:pPr>
      <w:r>
        <w:rPr>
          <w:rFonts w:ascii="Arial" w:cs="Arial" w:eastAsia="Arial" w:hAnsi="Arial"/>
          <w:color w:val="1E293B"/>
          <w:sz w:val="22"/>
          <w:szCs w:val="22"/>
        </w:rPr>
        <w:t xml:space="preserve">Three companies — OpenAI, Google DeepMind, and Anthropic — control the vast majority of all AI inference globally. This is not merely a market share statistic. It represents a structural dependency that affects every user, every developer, and every organization that relies on AI services.</w:t>
      </w:r>
    </w:p>
    <w:p>
      <w:pPr>
        <w:spacing w:after="80" w:before="60"/>
      </w:pPr>
      <w:r>
        <w:rPr>
          <w:rFonts w:ascii="Arial" w:cs="Arial" w:eastAsia="Arial" w:hAnsi="Arial"/>
          <w:color w:val="1E293B"/>
          <w:sz w:val="22"/>
          <w:szCs w:val="22"/>
        </w:rPr>
        <w:t xml:space="preserve">The consequences of this concentration are measurable and growing:</w:t>
      </w:r>
    </w:p>
    <w:p>
      <w:pPr>
        <w:pStyle w:val="ListParagraph"/>
        <w:numPr>
          <w:ilvl w:val="0"/>
          <w:numId w:val="2"/>
        </w:numPr>
        <w:spacing w:after="40" w:before="40"/>
      </w:pPr>
      <w:r>
        <w:rPr>
          <w:rFonts w:ascii="Arial" w:cs="Arial" w:eastAsia="Arial" w:hAnsi="Arial"/>
          <w:color w:val="1E293B"/>
          <w:sz w:val="21"/>
          <w:szCs w:val="21"/>
        </w:rPr>
        <w:t xml:space="preserve">Users have no choice over who processes their data or where it is stored</w:t>
      </w:r>
    </w:p>
    <w:p>
      <w:pPr>
        <w:pStyle w:val="ListParagraph"/>
        <w:numPr>
          <w:ilvl w:val="0"/>
          <w:numId w:val="2"/>
        </w:numPr>
        <w:spacing w:after="40" w:before="40"/>
      </w:pPr>
      <w:r>
        <w:rPr>
          <w:rFonts w:ascii="Arial" w:cs="Arial" w:eastAsia="Arial" w:hAnsi="Arial"/>
          <w:color w:val="1E293B"/>
          <w:sz w:val="21"/>
          <w:szCs w:val="21"/>
        </w:rPr>
        <w:t xml:space="preserve">Every prompt is potentially logged, analyzed, and used to train future models</w:t>
      </w:r>
    </w:p>
    <w:p>
      <w:pPr>
        <w:pStyle w:val="ListParagraph"/>
        <w:numPr>
          <w:ilvl w:val="0"/>
          <w:numId w:val="2"/>
        </w:numPr>
        <w:spacing w:after="40" w:before="40"/>
      </w:pPr>
      <w:r>
        <w:rPr>
          <w:rFonts w:ascii="Arial" w:cs="Arial" w:eastAsia="Arial" w:hAnsi="Arial"/>
          <w:color w:val="1E293B"/>
          <w:sz w:val="21"/>
          <w:szCs w:val="21"/>
        </w:rPr>
        <w:t xml:space="preserve">Subscription pricing extracts value regardless of actual usage</w:t>
      </w:r>
    </w:p>
    <w:p>
      <w:pPr>
        <w:pStyle w:val="ListParagraph"/>
        <w:numPr>
          <w:ilvl w:val="0"/>
          <w:numId w:val="2"/>
        </w:numPr>
        <w:spacing w:after="40" w:before="40"/>
      </w:pPr>
      <w:r>
        <w:rPr>
          <w:rFonts w:ascii="Arial" w:cs="Arial" w:eastAsia="Arial" w:hAnsi="Arial"/>
          <w:color w:val="1E293B"/>
          <w:sz w:val="21"/>
          <w:szCs w:val="21"/>
        </w:rPr>
        <w:t xml:space="preserve">A single corporate decision, regulatory intervention, or outage can interrupt service globally</w:t>
      </w:r>
    </w:p>
    <w:p>
      <w:pPr>
        <w:pStyle w:val="ListParagraph"/>
        <w:numPr>
          <w:ilvl w:val="0"/>
          <w:numId w:val="2"/>
        </w:numPr>
        <w:spacing w:after="40" w:before="40"/>
      </w:pPr>
      <w:r>
        <w:rPr>
          <w:rFonts w:ascii="Arial" w:cs="Arial" w:eastAsia="Arial" w:hAnsi="Arial"/>
          <w:color w:val="1E293B"/>
          <w:sz w:val="21"/>
          <w:szCs w:val="21"/>
        </w:rPr>
        <w:t xml:space="preserve">Innovation is constrained to directions that serve corporate revenue models</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200"/>
        <w:gridCol w:w="9160"/>
      </w:tblGrid>
      <w:tr>
        <w:tc>
          <w:tcPr>
            <w:tcW w:type="dxa" w:w="200"/>
            <w:tcBorders>
              <w:top w:val="none" w:color="FFFFFF" w:sz="0"/>
              <w:left w:val="none" w:color="FFFFFF" w:sz="0"/>
              <w:bottom w:val="none" w:color="FFFFFF" w:sz="0"/>
              <w:right w:val="none" w:color="FFFFFF" w:sz="0"/>
            </w:tcBorders>
            <w:shd w:fill="8B5CF6" w:val="clear"/>
          </w:tcPr>
          <w:p/>
        </w:tc>
        <w:tc>
          <w:tcPr>
            <w:tcW w:type="dxa" w:w="9160"/>
            <w:tcBorders>
              <w:top w:val="none" w:color="FFFFFF" w:sz="0"/>
              <w:left w:val="single" w:color="8B5CF6" w:sz="12"/>
              <w:bottom w:val="none" w:color="FFFFFF" w:sz="0"/>
              <w:right w:val="none" w:color="FFFFFF" w:sz="0"/>
            </w:tcBorders>
            <w:shd w:fill="F8FAFC" w:val="clear"/>
            <w:tcMar>
              <w:top w:type="dxa" w:w="80"/>
              <w:left w:type="dxa" w:w="200"/>
              <w:bottom w:type="dxa" w:w="80"/>
              <w:right w:type="dxa" w:w="120"/>
            </w:tcMar>
          </w:tcPr>
          <w:p>
            <w:pPr>
              <w:spacing w:after="40" w:before="0"/>
            </w:pPr>
            <w:r>
              <w:rPr>
                <w:rFonts w:ascii="Arial" w:cs="Arial" w:eastAsia="Arial" w:hAnsi="Arial"/>
                <w:b/>
                <w:bCs/>
                <w:color w:val="8B5CF6"/>
                <w:sz w:val="18"/>
                <w:szCs w:val="18"/>
              </w:rPr>
              <w:t xml:space="preserve">The Utilization Gap</w:t>
            </w:r>
          </w:p>
          <w:p>
            <w:pPr>
              <w:spacing w:after="0" w:before="0"/>
            </w:pPr>
            <w:r>
              <w:rPr>
                <w:rFonts w:ascii="Arial" w:cs="Arial" w:eastAsia="Arial" w:hAnsi="Arial"/>
                <w:color w:val="334155"/>
                <w:sz w:val="20"/>
                <w:szCs w:val="20"/>
              </w:rPr>
              <w:t xml:space="preserve">Studies of consumer hardware show average GPU utilization of under 8% globally. The compute needed to power AI at scale already exists in the hands of individuals — it simply has no marketplace to sell into.</w:t>
            </w:r>
          </w:p>
        </w:tc>
      </w:tr>
    </w:tbl>
    <w:p>
      <w:pPr>
        <w:spacing w:after="0" w:before="120"/>
      </w:pPr>
    </w:p>
    <w:p>
      <w:pPr>
        <w:pStyle w:val="Heading2"/>
        <w:spacing w:after="100" w:before="320"/>
      </w:pPr>
      <w:r>
        <w:rPr>
          <w:rFonts w:ascii="Arial" w:cs="Arial" w:eastAsia="Arial" w:hAnsi="Arial"/>
          <w:b/>
          <w:bCs/>
          <w:color w:val="0A1628"/>
          <w:sz w:val="26"/>
          <w:szCs w:val="26"/>
        </w:rPr>
        <w:t xml:space="preserve">1.2 Why Privacy Cannot Be a Policy</w:t>
      </w:r>
    </w:p>
    <w:p>
      <w:pPr>
        <w:spacing w:after="80" w:before="60"/>
      </w:pPr>
      <w:r>
        <w:rPr>
          <w:rFonts w:ascii="Arial" w:cs="Arial" w:eastAsia="Arial" w:hAnsi="Arial"/>
          <w:color w:val="1E293B"/>
          <w:sz w:val="22"/>
          <w:szCs w:val="22"/>
        </w:rPr>
        <w:t xml:space="preserve">Current AI providers make privacy promises in their terms of service. These promises have three fundamental weaknesses that no policy can fix:</w:t>
      </w:r>
    </w:p>
    <w:p>
      <w:pPr>
        <w:pStyle w:val="ListParagraph"/>
        <w:numPr>
          <w:ilvl w:val="0"/>
          <w:numId w:val="2"/>
        </w:numPr>
        <w:spacing w:after="40" w:before="40"/>
      </w:pPr>
      <w:r>
        <w:rPr>
          <w:rFonts w:ascii="Arial" w:cs="Arial" w:eastAsia="Arial" w:hAnsi="Arial"/>
          <w:color w:val="1E293B"/>
          <w:sz w:val="21"/>
          <w:szCs w:val="21"/>
        </w:rPr>
        <w:t xml:space="preserve">Policies can be changed unilaterally at any time</w:t>
      </w:r>
    </w:p>
    <w:p>
      <w:pPr>
        <w:pStyle w:val="ListParagraph"/>
        <w:numPr>
          <w:ilvl w:val="0"/>
          <w:numId w:val="2"/>
        </w:numPr>
        <w:spacing w:after="40" w:before="40"/>
      </w:pPr>
      <w:r>
        <w:rPr>
          <w:rFonts w:ascii="Arial" w:cs="Arial" w:eastAsia="Arial" w:hAnsi="Arial"/>
          <w:color w:val="1E293B"/>
          <w:sz w:val="21"/>
          <w:szCs w:val="21"/>
        </w:rPr>
        <w:t xml:space="preserve">Promises cannot be verified by the user — there is no transparency into what actually happens to data after it is sent</w:t>
      </w:r>
    </w:p>
    <w:p>
      <w:pPr>
        <w:pStyle w:val="ListParagraph"/>
        <w:numPr>
          <w:ilvl w:val="0"/>
          <w:numId w:val="2"/>
        </w:numPr>
        <w:spacing w:after="40" w:before="40"/>
      </w:pPr>
      <w:r>
        <w:rPr>
          <w:rFonts w:ascii="Arial" w:cs="Arial" w:eastAsia="Arial" w:hAnsi="Arial"/>
          <w:color w:val="1E293B"/>
          <w:sz w:val="21"/>
          <w:szCs w:val="21"/>
        </w:rPr>
        <w:t xml:space="preserve">Legal jurisdiction creates complex and opaque data handling rules that most users cannot navigate</w:t>
      </w:r>
    </w:p>
    <w:p>
      <w:pPr>
        <w:spacing w:after="80" w:before="60"/>
      </w:pPr>
      <w:r>
        <w:rPr>
          <w:rFonts w:ascii="Arial" w:cs="Arial" w:eastAsia="Arial" w:hAnsi="Arial"/>
          <w:color w:val="1E293B"/>
          <w:sz w:val="22"/>
          <w:szCs w:val="22"/>
        </w:rPr>
        <w:t xml:space="preserve">DEcentAI takes a different approach: structural privacy. When a prompt is sent through DEcentAI, it travels through an encrypted tunnel directly to the host node. The DEcentAI platform servers are architecturally excluded from the data path. We cannot see your prompts because the system was built so that we never receive them. This is not a policy — it is an architectural fact.</w:t>
      </w:r>
    </w:p>
    <w:p>
      <w:pPr>
        <w:pStyle w:val="Heading2"/>
        <w:spacing w:after="100" w:before="320"/>
      </w:pPr>
      <w:r>
        <w:rPr>
          <w:rFonts w:ascii="Arial" w:cs="Arial" w:eastAsia="Arial" w:hAnsi="Arial"/>
          <w:b/>
          <w:bCs/>
          <w:color w:val="0A1628"/>
          <w:sz w:val="26"/>
          <w:szCs w:val="26"/>
        </w:rPr>
        <w:t xml:space="preserve">1.3 The Economic Exclusion Problem</w:t>
      </w:r>
    </w:p>
    <w:p>
      <w:pPr>
        <w:spacing w:after="80" w:before="60"/>
      </w:pPr>
      <w:r>
        <w:rPr>
          <w:rFonts w:ascii="Arial" w:cs="Arial" w:eastAsia="Arial" w:hAnsi="Arial"/>
          <w:color w:val="1E293B"/>
          <w:sz w:val="22"/>
          <w:szCs w:val="22"/>
        </w:rPr>
        <w:t xml:space="preserve">AI access has become a subscription economy. ChatGPT charges $20/month. Claude Pro charges $20/month. Gemini Advanced charges $20/month. For a user who needs AI occasionally — a researcher, a small business, a developer in an emerging market — the choice is to overpay for a subscription or go without.</w:t>
      </w:r>
    </w:p>
    <w:p>
      <w:pPr>
        <w:spacing w:after="80" w:before="60"/>
      </w:pPr>
      <w:r>
        <w:rPr>
          <w:rFonts w:ascii="Arial" w:cs="Arial" w:eastAsia="Arial" w:hAnsi="Arial"/>
          <w:color w:val="1E293B"/>
          <w:sz w:val="22"/>
          <w:szCs w:val="22"/>
        </w:rPr>
        <w:t xml:space="preserve">Pay-per-prompt changes the economics fundamentally. A user who sends ten prompts per week should pay for ten prompts. DEcentAI charges fractions of a cent per AI output token, with no subscription, no minimum, and no lock-in.</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pPr>
              <w:jc w:val="center"/>
            </w:pPr>
            <w:r>
              <w:rPr>
                <w:rFonts w:ascii="Arial" w:cs="Arial" w:eastAsia="Arial" w:hAnsi="Arial"/>
                <w:b/>
                <w:bCs/>
                <w:color w:val="0A1628"/>
                <w:sz w:val="20"/>
                <w:szCs w:val="20"/>
              </w:rPr>
              <w:t xml:space="preserve"/>
            </w:r>
          </w:p>
        </w:tc>
        <w:tc>
          <w:tcPr>
            <w:tcW w:type="dxa" w:w="234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pPr>
              <w:jc w:val="center"/>
            </w:pPr>
            <w:r>
              <w:rPr>
                <w:rFonts w:ascii="Arial" w:cs="Arial" w:eastAsia="Arial" w:hAnsi="Arial"/>
                <w:b/>
                <w:bCs/>
                <w:color w:val="0A1628"/>
                <w:sz w:val="20"/>
                <w:szCs w:val="20"/>
              </w:rPr>
              <w:t xml:space="preserve">ChatGPT Plus</w:t>
            </w:r>
          </w:p>
        </w:tc>
        <w:tc>
          <w:tcPr>
            <w:tcW w:type="dxa" w:w="234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pPr>
              <w:jc w:val="center"/>
            </w:pPr>
            <w:r>
              <w:rPr>
                <w:rFonts w:ascii="Arial" w:cs="Arial" w:eastAsia="Arial" w:hAnsi="Arial"/>
                <w:b/>
                <w:bCs/>
                <w:color w:val="0A1628"/>
                <w:sz w:val="20"/>
                <w:szCs w:val="20"/>
              </w:rPr>
              <w:t xml:space="preserve">Claude Pro</w:t>
            </w:r>
          </w:p>
        </w:tc>
        <w:tc>
          <w:tcPr>
            <w:tcW w:type="dxa" w:w="2340"/>
            <w:tcBorders>
              <w:top w:val="single" w:color="CBD5E1" w:sz="1"/>
              <w:left w:val="single" w:color="CBD5E1" w:sz="1"/>
              <w:bottom w:val="single" w:color="CBD5E1" w:sz="1"/>
              <w:right w:val="single" w:color="CBD5E1" w:sz="1"/>
            </w:tcBorders>
            <w:shd w:fill="ECFDF5" w:val="clear"/>
            <w:tcMar>
              <w:top w:type="dxa" w:w="80"/>
              <w:left w:type="dxa" w:w="120"/>
              <w:bottom w:type="dxa" w:w="80"/>
              <w:right w:type="dxa" w:w="120"/>
            </w:tcMar>
          </w:tcPr>
          <w:p>
            <w:pPr>
              <w:jc w:val="center"/>
            </w:pPr>
            <w:r>
              <w:rPr>
                <w:rFonts w:ascii="Arial" w:cs="Arial" w:eastAsia="Arial" w:hAnsi="Arial"/>
                <w:b/>
                <w:bCs/>
                <w:color w:val="10B981"/>
                <w:sz w:val="20"/>
                <w:szCs w:val="20"/>
              </w:rPr>
              <w:t xml:space="preserve">DEcentAI</w:t>
            </w:r>
          </w:p>
        </w:tc>
      </w:tr>
      <w:tr>
        <w:tc>
          <w:tcPr>
            <w:tcW w:type="dxa" w:w="234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120"/>
            </w:tcMar>
          </w:tcPr>
          <w:p>
            <w:pPr>
              <w:jc w:val="left"/>
            </w:pPr>
            <w:r>
              <w:rPr>
                <w:rFonts w:ascii="Arial" w:cs="Arial" w:eastAsia="Arial" w:hAnsi="Arial"/>
                <w:b/>
                <w:bCs/>
                <w:color w:val="0A1628"/>
                <w:sz w:val="19"/>
                <w:szCs w:val="19"/>
              </w:rPr>
              <w:t xml:space="preserve">Pricing model</w:t>
            </w:r>
          </w:p>
        </w:tc>
        <w:tc>
          <w:tcPr>
            <w:tcW w:type="dxa" w:w="234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120"/>
            </w:tcMar>
          </w:tcPr>
          <w:p>
            <w:pPr>
              <w:jc w:val="center"/>
            </w:pPr>
            <w:r>
              <w:rPr>
                <w:rFonts w:ascii="Arial" w:cs="Arial" w:eastAsia="Arial" w:hAnsi="Arial"/>
                <w:b w:val="false"/>
                <w:bCs w:val="false"/>
                <w:color w:val="334155"/>
                <w:sz w:val="19"/>
                <w:szCs w:val="19"/>
              </w:rPr>
              <w:t xml:space="preserve">$20/month</w:t>
            </w:r>
          </w:p>
        </w:tc>
        <w:tc>
          <w:tcPr>
            <w:tcW w:type="dxa" w:w="234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120"/>
            </w:tcMar>
          </w:tcPr>
          <w:p>
            <w:pPr>
              <w:jc w:val="center"/>
            </w:pPr>
            <w:r>
              <w:rPr>
                <w:rFonts w:ascii="Arial" w:cs="Arial" w:eastAsia="Arial" w:hAnsi="Arial"/>
                <w:b w:val="false"/>
                <w:bCs w:val="false"/>
                <w:color w:val="334155"/>
                <w:sz w:val="19"/>
                <w:szCs w:val="19"/>
              </w:rPr>
              <w:t xml:space="preserve">$20/month</w:t>
            </w:r>
          </w:p>
        </w:tc>
        <w:tc>
          <w:tcPr>
            <w:tcW w:type="dxa" w:w="2340"/>
            <w:tcBorders>
              <w:top w:val="single" w:color="CBD5E1" w:sz="1"/>
              <w:left w:val="single" w:color="CBD5E1" w:sz="1"/>
              <w:bottom w:val="single" w:color="CBD5E1" w:sz="1"/>
              <w:right w:val="single" w:color="CBD5E1" w:sz="1"/>
            </w:tcBorders>
            <w:shd w:fill="ECFDF5" w:val="clear"/>
            <w:tcMar>
              <w:top w:type="dxa" w:w="60"/>
              <w:left w:type="dxa" w:w="120"/>
              <w:bottom w:type="dxa" w:w="60"/>
              <w:right w:type="dxa" w:w="120"/>
            </w:tcMar>
          </w:tcPr>
          <w:p>
            <w:pPr>
              <w:jc w:val="center"/>
            </w:pPr>
            <w:r>
              <w:rPr>
                <w:rFonts w:ascii="Arial" w:cs="Arial" w:eastAsia="Arial" w:hAnsi="Arial"/>
                <w:b w:val="false"/>
                <w:bCs w:val="false"/>
                <w:color w:val="10B981"/>
                <w:sz w:val="19"/>
                <w:szCs w:val="19"/>
              </w:rPr>
              <w:t xml:space="preserve">Per prompt</w:t>
            </w:r>
          </w:p>
        </w:tc>
      </w:tr>
      <w:tr>
        <w:tc>
          <w:tcPr>
            <w:tcW w:type="dxa" w:w="234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120"/>
            </w:tcMar>
          </w:tcPr>
          <w:p>
            <w:pPr>
              <w:jc w:val="left"/>
            </w:pPr>
            <w:r>
              <w:rPr>
                <w:rFonts w:ascii="Arial" w:cs="Arial" w:eastAsia="Arial" w:hAnsi="Arial"/>
                <w:b/>
                <w:bCs/>
                <w:color w:val="0A1628"/>
                <w:sz w:val="19"/>
                <w:szCs w:val="19"/>
              </w:rPr>
              <w:t xml:space="preserve">Data privacy</w:t>
            </w:r>
          </w:p>
        </w:tc>
        <w:tc>
          <w:tcPr>
            <w:tcW w:type="dxa" w:w="234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120"/>
            </w:tcMar>
          </w:tcPr>
          <w:p>
            <w:pPr>
              <w:jc w:val="center"/>
            </w:pPr>
            <w:r>
              <w:rPr>
                <w:rFonts w:ascii="Arial" w:cs="Arial" w:eastAsia="Arial" w:hAnsi="Arial"/>
                <w:b w:val="false"/>
                <w:bCs w:val="false"/>
                <w:color w:val="334155"/>
                <w:sz w:val="19"/>
                <w:szCs w:val="19"/>
              </w:rPr>
              <w:t xml:space="preserve">Policy-based</w:t>
            </w:r>
          </w:p>
        </w:tc>
        <w:tc>
          <w:tcPr>
            <w:tcW w:type="dxa" w:w="234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120"/>
            </w:tcMar>
          </w:tcPr>
          <w:p>
            <w:pPr>
              <w:jc w:val="center"/>
            </w:pPr>
            <w:r>
              <w:rPr>
                <w:rFonts w:ascii="Arial" w:cs="Arial" w:eastAsia="Arial" w:hAnsi="Arial"/>
                <w:b w:val="false"/>
                <w:bCs w:val="false"/>
                <w:color w:val="334155"/>
                <w:sz w:val="19"/>
                <w:szCs w:val="19"/>
              </w:rPr>
              <w:t xml:space="preserve">Policy-based</w:t>
            </w:r>
          </w:p>
        </w:tc>
        <w:tc>
          <w:tcPr>
            <w:tcW w:type="dxa" w:w="2340"/>
            <w:tcBorders>
              <w:top w:val="single" w:color="CBD5E1" w:sz="1"/>
              <w:left w:val="single" w:color="CBD5E1" w:sz="1"/>
              <w:bottom w:val="single" w:color="CBD5E1" w:sz="1"/>
              <w:right w:val="single" w:color="CBD5E1" w:sz="1"/>
            </w:tcBorders>
            <w:shd w:fill="F0FDF4" w:val="clear"/>
            <w:tcMar>
              <w:top w:type="dxa" w:w="60"/>
              <w:left w:type="dxa" w:w="120"/>
              <w:bottom w:type="dxa" w:w="60"/>
              <w:right w:type="dxa" w:w="120"/>
            </w:tcMar>
          </w:tcPr>
          <w:p>
            <w:pPr>
              <w:jc w:val="center"/>
            </w:pPr>
            <w:r>
              <w:rPr>
                <w:rFonts w:ascii="Arial" w:cs="Arial" w:eastAsia="Arial" w:hAnsi="Arial"/>
                <w:b w:val="false"/>
                <w:bCs w:val="false"/>
                <w:color w:val="10B981"/>
                <w:sz w:val="19"/>
                <w:szCs w:val="19"/>
              </w:rPr>
              <w:t xml:space="preserve">Structural</w:t>
            </w:r>
          </w:p>
        </w:tc>
      </w:tr>
      <w:tr>
        <w:tc>
          <w:tcPr>
            <w:tcW w:type="dxa" w:w="234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120"/>
            </w:tcMar>
          </w:tcPr>
          <w:p>
            <w:pPr>
              <w:jc w:val="left"/>
            </w:pPr>
            <w:r>
              <w:rPr>
                <w:rFonts w:ascii="Arial" w:cs="Arial" w:eastAsia="Arial" w:hAnsi="Arial"/>
                <w:b/>
                <w:bCs/>
                <w:color w:val="0A1628"/>
                <w:sz w:val="19"/>
                <w:szCs w:val="19"/>
              </w:rPr>
              <w:t xml:space="preserve">Data logged</w:t>
            </w:r>
          </w:p>
        </w:tc>
        <w:tc>
          <w:tcPr>
            <w:tcW w:type="dxa" w:w="234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120"/>
            </w:tcMar>
          </w:tcPr>
          <w:p>
            <w:pPr>
              <w:jc w:val="center"/>
            </w:pPr>
            <w:r>
              <w:rPr>
                <w:rFonts w:ascii="Arial" w:cs="Arial" w:eastAsia="Arial" w:hAnsi="Arial"/>
                <w:b w:val="false"/>
                <w:bCs w:val="false"/>
                <w:color w:val="334155"/>
                <w:sz w:val="19"/>
                <w:szCs w:val="19"/>
              </w:rPr>
              <w:t xml:space="preserve">Yes</w:t>
            </w:r>
          </w:p>
        </w:tc>
        <w:tc>
          <w:tcPr>
            <w:tcW w:type="dxa" w:w="234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120"/>
            </w:tcMar>
          </w:tcPr>
          <w:p>
            <w:pPr>
              <w:jc w:val="center"/>
            </w:pPr>
            <w:r>
              <w:rPr>
                <w:rFonts w:ascii="Arial" w:cs="Arial" w:eastAsia="Arial" w:hAnsi="Arial"/>
                <w:b w:val="false"/>
                <w:bCs w:val="false"/>
                <w:color w:val="334155"/>
                <w:sz w:val="19"/>
                <w:szCs w:val="19"/>
              </w:rPr>
              <w:t xml:space="preserve">Yes</w:t>
            </w:r>
          </w:p>
        </w:tc>
        <w:tc>
          <w:tcPr>
            <w:tcW w:type="dxa" w:w="2340"/>
            <w:tcBorders>
              <w:top w:val="single" w:color="CBD5E1" w:sz="1"/>
              <w:left w:val="single" w:color="CBD5E1" w:sz="1"/>
              <w:bottom w:val="single" w:color="CBD5E1" w:sz="1"/>
              <w:right w:val="single" w:color="CBD5E1" w:sz="1"/>
            </w:tcBorders>
            <w:shd w:fill="ECFDF5" w:val="clear"/>
            <w:tcMar>
              <w:top w:type="dxa" w:w="60"/>
              <w:left w:type="dxa" w:w="120"/>
              <w:bottom w:type="dxa" w:w="60"/>
              <w:right w:type="dxa" w:w="120"/>
            </w:tcMar>
          </w:tcPr>
          <w:p>
            <w:pPr>
              <w:jc w:val="center"/>
            </w:pPr>
            <w:r>
              <w:rPr>
                <w:rFonts w:ascii="Arial" w:cs="Arial" w:eastAsia="Arial" w:hAnsi="Arial"/>
                <w:b w:val="false"/>
                <w:bCs w:val="false"/>
                <w:color w:val="10B981"/>
                <w:sz w:val="19"/>
                <w:szCs w:val="19"/>
              </w:rPr>
              <w:t xml:space="preserve">Never</w:t>
            </w:r>
          </w:p>
        </w:tc>
      </w:tr>
      <w:tr>
        <w:tc>
          <w:tcPr>
            <w:tcW w:type="dxa" w:w="234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120"/>
            </w:tcMar>
          </w:tcPr>
          <w:p>
            <w:pPr>
              <w:jc w:val="left"/>
            </w:pPr>
            <w:r>
              <w:rPr>
                <w:rFonts w:ascii="Arial" w:cs="Arial" w:eastAsia="Arial" w:hAnsi="Arial"/>
                <w:b/>
                <w:bCs/>
                <w:color w:val="0A1628"/>
                <w:sz w:val="19"/>
                <w:szCs w:val="19"/>
              </w:rPr>
              <w:t xml:space="preserve">Subscription required</w:t>
            </w:r>
          </w:p>
        </w:tc>
        <w:tc>
          <w:tcPr>
            <w:tcW w:type="dxa" w:w="234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120"/>
            </w:tcMar>
          </w:tcPr>
          <w:p>
            <w:pPr>
              <w:jc w:val="center"/>
            </w:pPr>
            <w:r>
              <w:rPr>
                <w:rFonts w:ascii="Arial" w:cs="Arial" w:eastAsia="Arial" w:hAnsi="Arial"/>
                <w:b w:val="false"/>
                <w:bCs w:val="false"/>
                <w:color w:val="334155"/>
                <w:sz w:val="19"/>
                <w:szCs w:val="19"/>
              </w:rPr>
              <w:t xml:space="preserve">Yes</w:t>
            </w:r>
          </w:p>
        </w:tc>
        <w:tc>
          <w:tcPr>
            <w:tcW w:type="dxa" w:w="234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120"/>
            </w:tcMar>
          </w:tcPr>
          <w:p>
            <w:pPr>
              <w:jc w:val="center"/>
            </w:pPr>
            <w:r>
              <w:rPr>
                <w:rFonts w:ascii="Arial" w:cs="Arial" w:eastAsia="Arial" w:hAnsi="Arial"/>
                <w:b w:val="false"/>
                <w:bCs w:val="false"/>
                <w:color w:val="334155"/>
                <w:sz w:val="19"/>
                <w:szCs w:val="19"/>
              </w:rPr>
              <w:t xml:space="preserve">Yes</w:t>
            </w:r>
          </w:p>
        </w:tc>
        <w:tc>
          <w:tcPr>
            <w:tcW w:type="dxa" w:w="2340"/>
            <w:tcBorders>
              <w:top w:val="single" w:color="CBD5E1" w:sz="1"/>
              <w:left w:val="single" w:color="CBD5E1" w:sz="1"/>
              <w:bottom w:val="single" w:color="CBD5E1" w:sz="1"/>
              <w:right w:val="single" w:color="CBD5E1" w:sz="1"/>
            </w:tcBorders>
            <w:shd w:fill="F0FDF4" w:val="clear"/>
            <w:tcMar>
              <w:top w:type="dxa" w:w="60"/>
              <w:left w:type="dxa" w:w="120"/>
              <w:bottom w:type="dxa" w:w="60"/>
              <w:right w:type="dxa" w:w="120"/>
            </w:tcMar>
          </w:tcPr>
          <w:p>
            <w:pPr>
              <w:jc w:val="center"/>
            </w:pPr>
            <w:r>
              <w:rPr>
                <w:rFonts w:ascii="Arial" w:cs="Arial" w:eastAsia="Arial" w:hAnsi="Arial"/>
                <w:b w:val="false"/>
                <w:bCs w:val="false"/>
                <w:color w:val="10B981"/>
                <w:sz w:val="19"/>
                <w:szCs w:val="19"/>
              </w:rPr>
              <w:t xml:space="preserve">No</w:t>
            </w:r>
          </w:p>
        </w:tc>
      </w:tr>
      <w:tr>
        <w:tc>
          <w:tcPr>
            <w:tcW w:type="dxa" w:w="234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120"/>
            </w:tcMar>
          </w:tcPr>
          <w:p>
            <w:pPr>
              <w:jc w:val="left"/>
            </w:pPr>
            <w:r>
              <w:rPr>
                <w:rFonts w:ascii="Arial" w:cs="Arial" w:eastAsia="Arial" w:hAnsi="Arial"/>
                <w:b/>
                <w:bCs/>
                <w:color w:val="0A1628"/>
                <w:sz w:val="19"/>
                <w:szCs w:val="19"/>
              </w:rPr>
              <w:t xml:space="preserve">Can earn by hosting</w:t>
            </w:r>
          </w:p>
        </w:tc>
        <w:tc>
          <w:tcPr>
            <w:tcW w:type="dxa" w:w="234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120"/>
            </w:tcMar>
          </w:tcPr>
          <w:p>
            <w:pPr>
              <w:jc w:val="center"/>
            </w:pPr>
            <w:r>
              <w:rPr>
                <w:rFonts w:ascii="Arial" w:cs="Arial" w:eastAsia="Arial" w:hAnsi="Arial"/>
                <w:b w:val="false"/>
                <w:bCs w:val="false"/>
                <w:color w:val="334155"/>
                <w:sz w:val="19"/>
                <w:szCs w:val="19"/>
              </w:rPr>
              <w:t xml:space="preserve">No</w:t>
            </w:r>
          </w:p>
        </w:tc>
        <w:tc>
          <w:tcPr>
            <w:tcW w:type="dxa" w:w="234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120"/>
            </w:tcMar>
          </w:tcPr>
          <w:p>
            <w:pPr>
              <w:jc w:val="center"/>
            </w:pPr>
            <w:r>
              <w:rPr>
                <w:rFonts w:ascii="Arial" w:cs="Arial" w:eastAsia="Arial" w:hAnsi="Arial"/>
                <w:b w:val="false"/>
                <w:bCs w:val="false"/>
                <w:color w:val="334155"/>
                <w:sz w:val="19"/>
                <w:szCs w:val="19"/>
              </w:rPr>
              <w:t xml:space="preserve">No</w:t>
            </w:r>
          </w:p>
        </w:tc>
        <w:tc>
          <w:tcPr>
            <w:tcW w:type="dxa" w:w="2340"/>
            <w:tcBorders>
              <w:top w:val="single" w:color="CBD5E1" w:sz="1"/>
              <w:left w:val="single" w:color="CBD5E1" w:sz="1"/>
              <w:bottom w:val="single" w:color="CBD5E1" w:sz="1"/>
              <w:right w:val="single" w:color="CBD5E1" w:sz="1"/>
            </w:tcBorders>
            <w:shd w:fill="ECFDF5" w:val="clear"/>
            <w:tcMar>
              <w:top w:type="dxa" w:w="60"/>
              <w:left w:type="dxa" w:w="120"/>
              <w:bottom w:type="dxa" w:w="60"/>
              <w:right w:type="dxa" w:w="120"/>
            </w:tcMar>
          </w:tcPr>
          <w:p>
            <w:pPr>
              <w:jc w:val="center"/>
            </w:pPr>
            <w:r>
              <w:rPr>
                <w:rFonts w:ascii="Arial" w:cs="Arial" w:eastAsia="Arial" w:hAnsi="Arial"/>
                <w:b w:val="false"/>
                <w:bCs w:val="false"/>
                <w:color w:val="10B981"/>
                <w:sz w:val="19"/>
                <w:szCs w:val="19"/>
              </w:rPr>
              <w:t xml:space="preserve">Yes — 80%</w:t>
            </w:r>
          </w:p>
        </w:tc>
      </w:tr>
      <w:tr>
        <w:tc>
          <w:tcPr>
            <w:tcW w:type="dxa" w:w="234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120"/>
            </w:tcMar>
          </w:tcPr>
          <w:p>
            <w:pPr>
              <w:jc w:val="left"/>
            </w:pPr>
            <w:r>
              <w:rPr>
                <w:rFonts w:ascii="Arial" w:cs="Arial" w:eastAsia="Arial" w:hAnsi="Arial"/>
                <w:b/>
                <w:bCs/>
                <w:color w:val="0A1628"/>
                <w:sz w:val="19"/>
                <w:szCs w:val="19"/>
              </w:rPr>
              <w:t xml:space="preserve">Open source models</w:t>
            </w:r>
          </w:p>
        </w:tc>
        <w:tc>
          <w:tcPr>
            <w:tcW w:type="dxa" w:w="234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120"/>
            </w:tcMar>
          </w:tcPr>
          <w:p>
            <w:pPr>
              <w:jc w:val="center"/>
            </w:pPr>
            <w:r>
              <w:rPr>
                <w:rFonts w:ascii="Arial" w:cs="Arial" w:eastAsia="Arial" w:hAnsi="Arial"/>
                <w:b w:val="false"/>
                <w:bCs w:val="false"/>
                <w:color w:val="334155"/>
                <w:sz w:val="19"/>
                <w:szCs w:val="19"/>
              </w:rPr>
              <w:t xml:space="preserve">No</w:t>
            </w:r>
          </w:p>
        </w:tc>
        <w:tc>
          <w:tcPr>
            <w:tcW w:type="dxa" w:w="234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120"/>
            </w:tcMar>
          </w:tcPr>
          <w:p>
            <w:pPr>
              <w:jc w:val="center"/>
            </w:pPr>
            <w:r>
              <w:rPr>
                <w:rFonts w:ascii="Arial" w:cs="Arial" w:eastAsia="Arial" w:hAnsi="Arial"/>
                <w:b w:val="false"/>
                <w:bCs w:val="false"/>
                <w:color w:val="334155"/>
                <w:sz w:val="19"/>
                <w:szCs w:val="19"/>
              </w:rPr>
              <w:t xml:space="preserve">No</w:t>
            </w:r>
          </w:p>
        </w:tc>
        <w:tc>
          <w:tcPr>
            <w:tcW w:type="dxa" w:w="2340"/>
            <w:tcBorders>
              <w:top w:val="single" w:color="CBD5E1" w:sz="1"/>
              <w:left w:val="single" w:color="CBD5E1" w:sz="1"/>
              <w:bottom w:val="single" w:color="CBD5E1" w:sz="1"/>
              <w:right w:val="single" w:color="CBD5E1" w:sz="1"/>
            </w:tcBorders>
            <w:shd w:fill="F0FDF4" w:val="clear"/>
            <w:tcMar>
              <w:top w:type="dxa" w:w="60"/>
              <w:left w:type="dxa" w:w="120"/>
              <w:bottom w:type="dxa" w:w="60"/>
              <w:right w:type="dxa" w:w="120"/>
            </w:tcMar>
          </w:tcPr>
          <w:p>
            <w:pPr>
              <w:jc w:val="center"/>
            </w:pPr>
            <w:r>
              <w:rPr>
                <w:rFonts w:ascii="Arial" w:cs="Arial" w:eastAsia="Arial" w:hAnsi="Arial"/>
                <w:b w:val="false"/>
                <w:bCs w:val="false"/>
                <w:color w:val="10B981"/>
                <w:sz w:val="19"/>
                <w:szCs w:val="19"/>
              </w:rPr>
              <w:t xml:space="preserve">Yes</w:t>
            </w:r>
          </w:p>
        </w:tc>
      </w:tr>
      <w:tr>
        <w:tc>
          <w:tcPr>
            <w:tcW w:type="dxa" w:w="234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120"/>
            </w:tcMar>
          </w:tcPr>
          <w:p>
            <w:pPr>
              <w:jc w:val="left"/>
            </w:pPr>
            <w:r>
              <w:rPr>
                <w:rFonts w:ascii="Arial" w:cs="Arial" w:eastAsia="Arial" w:hAnsi="Arial"/>
                <w:b/>
                <w:bCs/>
                <w:color w:val="0A1628"/>
                <w:sz w:val="19"/>
                <w:szCs w:val="19"/>
              </w:rPr>
              <w:t xml:space="preserve">Offline capable</w:t>
            </w:r>
          </w:p>
        </w:tc>
        <w:tc>
          <w:tcPr>
            <w:tcW w:type="dxa" w:w="234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120"/>
            </w:tcMar>
          </w:tcPr>
          <w:p>
            <w:pPr>
              <w:jc w:val="center"/>
            </w:pPr>
            <w:r>
              <w:rPr>
                <w:rFonts w:ascii="Arial" w:cs="Arial" w:eastAsia="Arial" w:hAnsi="Arial"/>
                <w:b w:val="false"/>
                <w:bCs w:val="false"/>
                <w:color w:val="334155"/>
                <w:sz w:val="19"/>
                <w:szCs w:val="19"/>
              </w:rPr>
              <w:t xml:space="preserve">No</w:t>
            </w:r>
          </w:p>
        </w:tc>
        <w:tc>
          <w:tcPr>
            <w:tcW w:type="dxa" w:w="234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120"/>
            </w:tcMar>
          </w:tcPr>
          <w:p>
            <w:pPr>
              <w:jc w:val="center"/>
            </w:pPr>
            <w:r>
              <w:rPr>
                <w:rFonts w:ascii="Arial" w:cs="Arial" w:eastAsia="Arial" w:hAnsi="Arial"/>
                <w:b w:val="false"/>
                <w:bCs w:val="false"/>
                <w:color w:val="334155"/>
                <w:sz w:val="19"/>
                <w:szCs w:val="19"/>
              </w:rPr>
              <w:t xml:space="preserve">No</w:t>
            </w:r>
          </w:p>
        </w:tc>
        <w:tc>
          <w:tcPr>
            <w:tcW w:type="dxa" w:w="2340"/>
            <w:tcBorders>
              <w:top w:val="single" w:color="CBD5E1" w:sz="1"/>
              <w:left w:val="single" w:color="CBD5E1" w:sz="1"/>
              <w:bottom w:val="single" w:color="CBD5E1" w:sz="1"/>
              <w:right w:val="single" w:color="CBD5E1" w:sz="1"/>
            </w:tcBorders>
            <w:shd w:fill="ECFDF5" w:val="clear"/>
            <w:tcMar>
              <w:top w:type="dxa" w:w="60"/>
              <w:left w:type="dxa" w:w="120"/>
              <w:bottom w:type="dxa" w:w="60"/>
              <w:right w:type="dxa" w:w="120"/>
            </w:tcMar>
          </w:tcPr>
          <w:p>
            <w:pPr>
              <w:jc w:val="center"/>
            </w:pPr>
            <w:r>
              <w:rPr>
                <w:rFonts w:ascii="Arial" w:cs="Arial" w:eastAsia="Arial" w:hAnsi="Arial"/>
                <w:b w:val="false"/>
                <w:bCs w:val="false"/>
                <w:color w:val="10B981"/>
                <w:sz w:val="19"/>
                <w:szCs w:val="19"/>
              </w:rPr>
              <w:t xml:space="preserve">Yes</w:t>
            </w:r>
          </w:p>
        </w:tc>
      </w:tr>
    </w:tbl>
    <w:p>
      <w:r>
        <w:br/>
      </w:r>
    </w:p>
    <w:p>
      <w:pPr>
        <w:pStyle w:val="Heading1"/>
        <w:pBdr>
          <w:bottom w:val="single" w:color="00B4D8" w:sz="6" w:space="4"/>
        </w:pBdr>
        <w:spacing w:after="120" w:before="480"/>
      </w:pPr>
      <w:r>
        <w:rPr>
          <w:rFonts w:ascii="Arial" w:cs="Arial" w:eastAsia="Arial" w:hAnsi="Arial"/>
          <w:b/>
          <w:bCs/>
          <w:color w:val="0A1628"/>
          <w:sz w:val="34"/>
          <w:szCs w:val="34"/>
        </w:rPr>
        <w:t xml:space="preserve">2. Platform Architecture</w:t>
      </w:r>
    </w:p>
    <w:p>
      <w:pPr>
        <w:pStyle w:val="Heading2"/>
        <w:spacing w:after="100" w:before="320"/>
      </w:pPr>
      <w:r>
        <w:rPr>
          <w:rFonts w:ascii="Arial" w:cs="Arial" w:eastAsia="Arial" w:hAnsi="Arial"/>
          <w:b/>
          <w:bCs/>
          <w:color w:val="0A1628"/>
          <w:sz w:val="26"/>
          <w:szCs w:val="26"/>
        </w:rPr>
        <w:t xml:space="preserve">2.1 High-Level System Design</w:t>
      </w:r>
    </w:p>
    <w:p>
      <w:pPr>
        <w:spacing w:after="80" w:before="60"/>
      </w:pPr>
      <w:r>
        <w:rPr>
          <w:rFonts w:ascii="Arial" w:cs="Arial" w:eastAsia="Arial" w:hAnsi="Arial"/>
          <w:color w:val="1E293B"/>
          <w:sz w:val="22"/>
          <w:szCs w:val="22"/>
        </w:rPr>
        <w:t xml:space="preserve">DEcentAI consists of four principal layers: the user application layer, the marketplace coordination layer, the provider node layer, and the Solana settlement layer. Each layer has clearly defined responsibilities and communicates with adjacent layers through well-specified interfaces.</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1"/>
              <w:left w:val="single" w:color="00B4D8" w:sz="12"/>
              <w:bottom w:val="single" w:color="CBD5E1" w:sz="1"/>
              <w:right w:val="single" w:color="CBD5E1" w:sz="1"/>
            </w:tcBorders>
            <w:shd w:fill="F8FAFC" w:val="clear"/>
            <w:tcMar>
              <w:top w:type="dxa" w:w="100"/>
              <w:left w:type="dxa" w:w="200"/>
              <w:bottom w:type="dxa" w:w="100"/>
              <w:right w:type="dxa" w:w="120"/>
            </w:tcMar>
          </w:tcPr>
          <w:p>
            <w:r>
              <w:rPr>
                <w:rFonts w:ascii="Arial" w:cs="Arial" w:eastAsia="Arial" w:hAnsi="Arial"/>
                <w:b/>
                <w:bCs/>
                <w:color w:val="00B4D8"/>
                <w:sz w:val="22"/>
                <w:szCs w:val="22"/>
              </w:rPr>
              <w:t xml:space="preserve">Layer 4 — User Application</w:t>
            </w:r>
          </w:p>
          <w:p>
            <w:r>
              <w:rPr>
                <w:rFonts w:ascii="Arial" w:cs="Arial" w:eastAsia="Arial" w:hAnsi="Arial"/>
                <w:color w:val="334155"/>
                <w:sz w:val="20"/>
                <w:szCs w:val="20"/>
              </w:rPr>
              <w:t xml:space="preserve">ai.decntai.com web interface. Manages wallet, selects provider, sends prompts, receives responses. All cryptographic operations happen client-side.</w:t>
            </w:r>
          </w:p>
        </w:tc>
      </w:tr>
      <w:tr>
        <w:tc>
          <w:tcPr>
            <w:tcW w:type="dxa" w:w="9360"/>
            <w:tcBorders>
              <w:top w:val="single" w:color="CBD5E1" w:sz="1"/>
              <w:left w:val="single" w:color="8B5CF6" w:sz="12"/>
              <w:bottom w:val="single" w:color="CBD5E1" w:sz="1"/>
              <w:right w:val="single" w:color="CBD5E1" w:sz="1"/>
            </w:tcBorders>
            <w:shd w:fill="FFFFFF" w:val="clear"/>
            <w:tcMar>
              <w:top w:type="dxa" w:w="100"/>
              <w:left w:type="dxa" w:w="200"/>
              <w:bottom w:type="dxa" w:w="100"/>
              <w:right w:type="dxa" w:w="120"/>
            </w:tcMar>
          </w:tcPr>
          <w:p>
            <w:r>
              <w:rPr>
                <w:rFonts w:ascii="Arial" w:cs="Arial" w:eastAsia="Arial" w:hAnsi="Arial"/>
                <w:b/>
                <w:bCs/>
                <w:color w:val="8B5CF6"/>
                <w:sz w:val="22"/>
                <w:szCs w:val="22"/>
              </w:rPr>
              <w:t xml:space="preserve">Layer 3 — Marketplace Coordination</w:t>
            </w:r>
          </w:p>
          <w:p>
            <w:r>
              <w:rPr>
                <w:rFonts w:ascii="Arial" w:cs="Arial" w:eastAsia="Arial" w:hAnsi="Arial"/>
                <w:color w:val="334155"/>
                <w:sz w:val="20"/>
                <w:szCs w:val="20"/>
              </w:rPr>
              <w:t xml:space="preserve">DEcentAI platform server. Maintains provider registry, routes session setup, handles heartbeat monitoring, manages reputation scoring. Never touches prompt data.</w:t>
            </w:r>
          </w:p>
        </w:tc>
      </w:tr>
      <w:tr>
        <w:tc>
          <w:tcPr>
            <w:tcW w:type="dxa" w:w="9360"/>
            <w:tcBorders>
              <w:top w:val="single" w:color="CBD5E1" w:sz="1"/>
              <w:left w:val="single" w:color="10B981" w:sz="12"/>
              <w:bottom w:val="single" w:color="CBD5E1" w:sz="1"/>
              <w:right w:val="single" w:color="CBD5E1" w:sz="1"/>
            </w:tcBorders>
            <w:shd w:fill="F8FAFC" w:val="clear"/>
            <w:tcMar>
              <w:top w:type="dxa" w:w="100"/>
              <w:left w:type="dxa" w:w="200"/>
              <w:bottom w:type="dxa" w:w="100"/>
              <w:right w:type="dxa" w:w="120"/>
            </w:tcMar>
          </w:tcPr>
          <w:p>
            <w:r>
              <w:rPr>
                <w:rFonts w:ascii="Arial" w:cs="Arial" w:eastAsia="Arial" w:hAnsi="Arial"/>
                <w:b/>
                <w:bCs/>
                <w:color w:val="10B981"/>
                <w:sz w:val="22"/>
                <w:szCs w:val="22"/>
              </w:rPr>
              <w:t xml:space="preserve">Layer 2 — Provider Node</w:t>
            </w:r>
          </w:p>
          <w:p>
            <w:r>
              <w:rPr>
                <w:rFonts w:ascii="Arial" w:cs="Arial" w:eastAsia="Arial" w:hAnsi="Arial"/>
                <w:color w:val="334155"/>
                <w:sz w:val="20"/>
                <w:szCs w:val="20"/>
              </w:rPr>
              <w:t xml:space="preserve">Host computer running Ollama + DEcentAI agent. Receives encrypted sessions, runs inference, returns encrypted responses. Earns DECNT per output token served.</w:t>
            </w:r>
          </w:p>
        </w:tc>
      </w:tr>
      <w:tr>
        <w:tc>
          <w:tcPr>
            <w:tcW w:type="dxa" w:w="9360"/>
            <w:tcBorders>
              <w:top w:val="single" w:color="CBD5E1" w:sz="1"/>
              <w:left w:val="single" w:color="F59E0B" w:sz="12"/>
              <w:bottom w:val="single" w:color="CBD5E1" w:sz="1"/>
              <w:right w:val="single" w:color="CBD5E1" w:sz="1"/>
            </w:tcBorders>
            <w:shd w:fill="FFFFFF" w:val="clear"/>
            <w:tcMar>
              <w:top w:type="dxa" w:w="100"/>
              <w:left w:type="dxa" w:w="200"/>
              <w:bottom w:type="dxa" w:w="100"/>
              <w:right w:type="dxa" w:w="120"/>
            </w:tcMar>
          </w:tcPr>
          <w:p>
            <w:r>
              <w:rPr>
                <w:rFonts w:ascii="Arial" w:cs="Arial" w:eastAsia="Arial" w:hAnsi="Arial"/>
                <w:b/>
                <w:bCs/>
                <w:color w:val="F59E0B"/>
                <w:sz w:val="22"/>
                <w:szCs w:val="22"/>
              </w:rPr>
              <w:t xml:space="preserve">Layer 1 — Solana Settlement</w:t>
            </w:r>
          </w:p>
          <w:p>
            <w:r>
              <w:rPr>
                <w:rFonts w:ascii="Arial" w:cs="Arial" w:eastAsia="Arial" w:hAnsi="Arial"/>
                <w:color w:val="334155"/>
                <w:sz w:val="20"/>
                <w:szCs w:val="20"/>
              </w:rPr>
              <w:t xml:space="preserve">SPL token contract for DECNT. Processes micro-payments per prompt. Handles 80/19/1 split automatically. Sub-second finality, fractions of a cent per transaction.</w:t>
            </w:r>
          </w:p>
        </w:tc>
      </w:tr>
    </w:tbl>
    <w:p>
      <w:pPr>
        <w:spacing w:after="0" w:before="120"/>
      </w:pPr>
    </w:p>
    <w:p>
      <w:pPr>
        <w:pStyle w:val="Heading2"/>
        <w:spacing w:after="100" w:before="320"/>
      </w:pPr>
      <w:r>
        <w:rPr>
          <w:rFonts w:ascii="Arial" w:cs="Arial" w:eastAsia="Arial" w:hAnsi="Arial"/>
          <w:b/>
          <w:bCs/>
          <w:color w:val="0A1628"/>
          <w:sz w:val="26"/>
          <w:szCs w:val="26"/>
        </w:rPr>
        <w:t xml:space="preserve">2.2 Session Flow — Step by Step</w:t>
      </w:r>
    </w:p>
    <w:p>
      <w:pPr>
        <w:spacing w:after="80" w:before="60"/>
      </w:pPr>
      <w:r>
        <w:rPr>
          <w:rFonts w:ascii="Arial" w:cs="Arial" w:eastAsia="Arial" w:hAnsi="Arial"/>
          <w:color w:val="1E293B"/>
          <w:sz w:val="22"/>
          <w:szCs w:val="22"/>
        </w:rPr>
        <w:t xml:space="preserve">The following sequence describes a complete prompt transaction from user input to provider payment:</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BD5E1" w:sz="1"/>
              <w:left w:val="single" w:color="CBD5E1" w:sz="1"/>
              <w:bottom w:val="single" w:color="CBD5E1" w:sz="1"/>
              <w:right w:val="single" w:color="CBD5E1" w:sz="1"/>
            </w:tcBorders>
            <w:shd w:fill="0A1628" w:val="clear"/>
            <w:tcMar>
              <w:top w:type="dxa" w:w="80"/>
              <w:left w:type="dxa" w:w="80"/>
              <w:bottom w:type="dxa" w:w="80"/>
              <w:right w:type="dxa" w:w="80"/>
            </w:tcMar>
            <w:vAlign w:val="center"/>
          </w:tcPr>
          <w:p>
            <w:pPr>
              <w:jc w:val="center"/>
            </w:pPr>
            <w:r>
              <w:rPr>
                <w:rFonts w:ascii="Arial" w:cs="Arial" w:eastAsia="Arial" w:hAnsi="Arial"/>
                <w:b/>
                <w:bCs/>
                <w:color w:val="00B4D8"/>
                <w:sz w:val="22"/>
                <w:szCs w:val="22"/>
              </w:rPr>
              <w:t xml:space="preserve">①</w:t>
            </w:r>
          </w:p>
        </w:tc>
        <w:tc>
          <w:tcPr>
            <w:tcW w:type="dxa" w:w="8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20"/>
            </w:tcMar>
          </w:tcPr>
          <w:p>
            <w:r>
              <w:rPr>
                <w:rFonts w:ascii="Arial" w:cs="Arial" w:eastAsia="Arial" w:hAnsi="Arial"/>
                <w:color w:val="1E293B"/>
                <w:sz w:val="20"/>
                <w:szCs w:val="20"/>
              </w:rPr>
              <w:t xml:space="preserve">User loads ai.decntai.com and authenticates. Their encrypted account wallet key is decrypted server-side for the session.</w:t>
            </w:r>
          </w:p>
        </w:tc>
      </w:tr>
      <w:tr>
        <w:tc>
          <w:tcPr>
            <w:tcW w:type="dxa" w:w="600"/>
            <w:tcBorders>
              <w:top w:val="single" w:color="CBD5E1" w:sz="1"/>
              <w:left w:val="single" w:color="CBD5E1" w:sz="1"/>
              <w:bottom w:val="single" w:color="CBD5E1" w:sz="1"/>
              <w:right w:val="single" w:color="CBD5E1" w:sz="1"/>
            </w:tcBorders>
            <w:shd w:fill="0A1628" w:val="clear"/>
            <w:tcMar>
              <w:top w:type="dxa" w:w="80"/>
              <w:left w:type="dxa" w:w="80"/>
              <w:bottom w:type="dxa" w:w="80"/>
              <w:right w:type="dxa" w:w="80"/>
            </w:tcMar>
            <w:vAlign w:val="center"/>
          </w:tcPr>
          <w:p>
            <w:pPr>
              <w:jc w:val="center"/>
            </w:pPr>
            <w:r>
              <w:rPr>
                <w:rFonts w:ascii="Arial" w:cs="Arial" w:eastAsia="Arial" w:hAnsi="Arial"/>
                <w:b/>
                <w:bCs/>
                <w:color w:val="00B4D8"/>
                <w:sz w:val="22"/>
                <w:szCs w:val="22"/>
              </w:rPr>
              <w:t xml:space="preserve">②</w:t>
            </w:r>
          </w:p>
        </w:tc>
        <w:tc>
          <w:tcPr>
            <w:tcW w:type="dxa" w:w="8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20"/>
            </w:tcMar>
          </w:tcPr>
          <w:p>
            <w:r>
              <w:rPr>
                <w:rFonts w:ascii="Arial" w:cs="Arial" w:eastAsia="Arial" w:hAnsi="Arial"/>
                <w:color w:val="1E293B"/>
                <w:sz w:val="20"/>
                <w:szCs w:val="20"/>
              </w:rPr>
              <w:t xml:space="preserve">User browses the provider marketplace. Each provider node advertises hardware tier, supported models, price per token, and uptime reputation.</w:t>
            </w:r>
          </w:p>
        </w:tc>
      </w:tr>
      <w:tr>
        <w:tc>
          <w:tcPr>
            <w:tcW w:type="dxa" w:w="600"/>
            <w:tcBorders>
              <w:top w:val="single" w:color="CBD5E1" w:sz="1"/>
              <w:left w:val="single" w:color="CBD5E1" w:sz="1"/>
              <w:bottom w:val="single" w:color="CBD5E1" w:sz="1"/>
              <w:right w:val="single" w:color="CBD5E1" w:sz="1"/>
            </w:tcBorders>
            <w:shd w:fill="0A1628" w:val="clear"/>
            <w:tcMar>
              <w:top w:type="dxa" w:w="80"/>
              <w:left w:type="dxa" w:w="80"/>
              <w:bottom w:type="dxa" w:w="80"/>
              <w:right w:type="dxa" w:w="80"/>
            </w:tcMar>
            <w:vAlign w:val="center"/>
          </w:tcPr>
          <w:p>
            <w:pPr>
              <w:jc w:val="center"/>
            </w:pPr>
            <w:r>
              <w:rPr>
                <w:rFonts w:ascii="Arial" w:cs="Arial" w:eastAsia="Arial" w:hAnsi="Arial"/>
                <w:b/>
                <w:bCs/>
                <w:color w:val="00B4D8"/>
                <w:sz w:val="22"/>
                <w:szCs w:val="22"/>
              </w:rPr>
              <w:t xml:space="preserve">③</w:t>
            </w:r>
          </w:p>
        </w:tc>
        <w:tc>
          <w:tcPr>
            <w:tcW w:type="dxa" w:w="8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20"/>
            </w:tcMar>
          </w:tcPr>
          <w:p>
            <w:r>
              <w:rPr>
                <w:rFonts w:ascii="Arial" w:cs="Arial" w:eastAsia="Arial" w:hAnsi="Arial"/>
                <w:color w:val="1E293B"/>
                <w:sz w:val="20"/>
                <w:szCs w:val="20"/>
              </w:rPr>
              <w:t xml:space="preserve">User selects a provider. The platform establishes a dedicated SSH tunnel between the user's browser session and the provider's machine.</w:t>
            </w:r>
          </w:p>
        </w:tc>
      </w:tr>
      <w:tr>
        <w:tc>
          <w:tcPr>
            <w:tcW w:type="dxa" w:w="600"/>
            <w:tcBorders>
              <w:top w:val="single" w:color="CBD5E1" w:sz="1"/>
              <w:left w:val="single" w:color="CBD5E1" w:sz="1"/>
              <w:bottom w:val="single" w:color="CBD5E1" w:sz="1"/>
              <w:right w:val="single" w:color="CBD5E1" w:sz="1"/>
            </w:tcBorders>
            <w:shd w:fill="0A1628" w:val="clear"/>
            <w:tcMar>
              <w:top w:type="dxa" w:w="80"/>
              <w:left w:type="dxa" w:w="80"/>
              <w:bottom w:type="dxa" w:w="80"/>
              <w:right w:type="dxa" w:w="80"/>
            </w:tcMar>
            <w:vAlign w:val="center"/>
          </w:tcPr>
          <w:p>
            <w:pPr>
              <w:jc w:val="center"/>
            </w:pPr>
            <w:r>
              <w:rPr>
                <w:rFonts w:ascii="Arial" w:cs="Arial" w:eastAsia="Arial" w:hAnsi="Arial"/>
                <w:b/>
                <w:bCs/>
                <w:color w:val="00B4D8"/>
                <w:sz w:val="22"/>
                <w:szCs w:val="22"/>
              </w:rPr>
              <w:t xml:space="preserve">④</w:t>
            </w:r>
          </w:p>
        </w:tc>
        <w:tc>
          <w:tcPr>
            <w:tcW w:type="dxa" w:w="8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20"/>
            </w:tcMar>
          </w:tcPr>
          <w:p>
            <w:r>
              <w:rPr>
                <w:rFonts w:ascii="Arial" w:cs="Arial" w:eastAsia="Arial" w:hAnsi="Arial"/>
                <w:color w:val="1E293B"/>
                <w:sz w:val="20"/>
                <w:szCs w:val="20"/>
              </w:rPr>
              <w:t xml:space="preserve">User sends a prompt. The text travels through the encrypted tunnel directly to the provider node — the platform server is not in the data path.</w:t>
            </w:r>
          </w:p>
        </w:tc>
      </w:tr>
      <w:tr>
        <w:tc>
          <w:tcPr>
            <w:tcW w:type="dxa" w:w="600"/>
            <w:tcBorders>
              <w:top w:val="single" w:color="CBD5E1" w:sz="1"/>
              <w:left w:val="single" w:color="CBD5E1" w:sz="1"/>
              <w:bottom w:val="single" w:color="CBD5E1" w:sz="1"/>
              <w:right w:val="single" w:color="CBD5E1" w:sz="1"/>
            </w:tcBorders>
            <w:shd w:fill="0A1628" w:val="clear"/>
            <w:tcMar>
              <w:top w:type="dxa" w:w="80"/>
              <w:left w:type="dxa" w:w="80"/>
              <w:bottom w:type="dxa" w:w="80"/>
              <w:right w:type="dxa" w:w="80"/>
            </w:tcMar>
            <w:vAlign w:val="center"/>
          </w:tcPr>
          <w:p>
            <w:pPr>
              <w:jc w:val="center"/>
            </w:pPr>
            <w:r>
              <w:rPr>
                <w:rFonts w:ascii="Arial" w:cs="Arial" w:eastAsia="Arial" w:hAnsi="Arial"/>
                <w:b/>
                <w:bCs/>
                <w:color w:val="00B4D8"/>
                <w:sz w:val="22"/>
                <w:szCs w:val="22"/>
              </w:rPr>
              <w:t xml:space="preserve">⑤</w:t>
            </w:r>
          </w:p>
        </w:tc>
        <w:tc>
          <w:tcPr>
            <w:tcW w:type="dxa" w:w="8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20"/>
            </w:tcMar>
          </w:tcPr>
          <w:p>
            <w:r>
              <w:rPr>
                <w:rFonts w:ascii="Arial" w:cs="Arial" w:eastAsia="Arial" w:hAnsi="Arial"/>
                <w:color w:val="1E293B"/>
                <w:sz w:val="20"/>
                <w:szCs w:val="20"/>
              </w:rPr>
              <w:t xml:space="preserve">Provider's Ollama instance processes the prompt using the locally running model. No network call is made for inference — computation is local.</w:t>
            </w:r>
          </w:p>
        </w:tc>
      </w:tr>
      <w:tr>
        <w:tc>
          <w:tcPr>
            <w:tcW w:type="dxa" w:w="600"/>
            <w:tcBorders>
              <w:top w:val="single" w:color="CBD5E1" w:sz="1"/>
              <w:left w:val="single" w:color="CBD5E1" w:sz="1"/>
              <w:bottom w:val="single" w:color="CBD5E1" w:sz="1"/>
              <w:right w:val="single" w:color="CBD5E1" w:sz="1"/>
            </w:tcBorders>
            <w:shd w:fill="0A1628" w:val="clear"/>
            <w:tcMar>
              <w:top w:type="dxa" w:w="80"/>
              <w:left w:type="dxa" w:w="80"/>
              <w:bottom w:type="dxa" w:w="80"/>
              <w:right w:type="dxa" w:w="80"/>
            </w:tcMar>
            <w:vAlign w:val="center"/>
          </w:tcPr>
          <w:p>
            <w:pPr>
              <w:jc w:val="center"/>
            </w:pPr>
            <w:r>
              <w:rPr>
                <w:rFonts w:ascii="Arial" w:cs="Arial" w:eastAsia="Arial" w:hAnsi="Arial"/>
                <w:b/>
                <w:bCs/>
                <w:color w:val="00B4D8"/>
                <w:sz w:val="22"/>
                <w:szCs w:val="22"/>
              </w:rPr>
              <w:t xml:space="preserve">⑥</w:t>
            </w:r>
          </w:p>
        </w:tc>
        <w:tc>
          <w:tcPr>
            <w:tcW w:type="dxa" w:w="8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20"/>
            </w:tcMar>
          </w:tcPr>
          <w:p>
            <w:r>
              <w:rPr>
                <w:rFonts w:ascii="Arial" w:cs="Arial" w:eastAsia="Arial" w:hAnsi="Arial"/>
                <w:color w:val="1E293B"/>
                <w:sz w:val="20"/>
                <w:szCs w:val="20"/>
              </w:rPr>
              <w:t xml:space="preserve">Provider streams the response back through the tunnel to the user's browser.</w:t>
            </w:r>
          </w:p>
        </w:tc>
      </w:tr>
      <w:tr>
        <w:tc>
          <w:tcPr>
            <w:tcW w:type="dxa" w:w="600"/>
            <w:tcBorders>
              <w:top w:val="single" w:color="CBD5E1" w:sz="1"/>
              <w:left w:val="single" w:color="CBD5E1" w:sz="1"/>
              <w:bottom w:val="single" w:color="CBD5E1" w:sz="1"/>
              <w:right w:val="single" w:color="CBD5E1" w:sz="1"/>
            </w:tcBorders>
            <w:shd w:fill="0A1628" w:val="clear"/>
            <w:tcMar>
              <w:top w:type="dxa" w:w="80"/>
              <w:left w:type="dxa" w:w="80"/>
              <w:bottom w:type="dxa" w:w="80"/>
              <w:right w:type="dxa" w:w="80"/>
            </w:tcMar>
            <w:vAlign w:val="center"/>
          </w:tcPr>
          <w:p>
            <w:pPr>
              <w:jc w:val="center"/>
            </w:pPr>
            <w:r>
              <w:rPr>
                <w:rFonts w:ascii="Arial" w:cs="Arial" w:eastAsia="Arial" w:hAnsi="Arial"/>
                <w:b/>
                <w:bCs/>
                <w:color w:val="00B4D8"/>
                <w:sz w:val="22"/>
                <w:szCs w:val="22"/>
              </w:rPr>
              <w:t xml:space="preserve">⑦</w:t>
            </w:r>
          </w:p>
        </w:tc>
        <w:tc>
          <w:tcPr>
            <w:tcW w:type="dxa" w:w="8760"/>
            <w:tcBorders>
              <w:top w:val="single" w:color="CBD5E1" w:sz="1"/>
              <w:left w:val="single" w:color="CBD5E1" w:sz="1"/>
              <w:bottom w:val="single" w:color="CBD5E1" w:sz="1"/>
              <w:right w:val="single" w:color="CBD5E1" w:sz="1"/>
            </w:tcBorders>
            <w:shd w:fill="F8FAFC" w:val="clear"/>
            <w:tcMar>
              <w:top w:type="dxa" w:w="80"/>
              <w:left w:type="dxa" w:w="140"/>
              <w:bottom w:type="dxa" w:w="80"/>
              <w:right w:type="dxa" w:w="120"/>
            </w:tcMar>
          </w:tcPr>
          <w:p>
            <w:r>
              <w:rPr>
                <w:rFonts w:ascii="Arial" w:cs="Arial" w:eastAsia="Arial" w:hAnsi="Arial"/>
                <w:color w:val="1E293B"/>
                <w:sz w:val="20"/>
                <w:szCs w:val="20"/>
              </w:rPr>
              <w:t xml:space="preserve">At session end, the platform calculates total output tokens. A Solana transaction is constructed and signed client-side.</w:t>
            </w:r>
          </w:p>
        </w:tc>
      </w:tr>
      <w:tr>
        <w:tc>
          <w:tcPr>
            <w:tcW w:type="dxa" w:w="600"/>
            <w:tcBorders>
              <w:top w:val="single" w:color="CBD5E1" w:sz="1"/>
              <w:left w:val="single" w:color="CBD5E1" w:sz="1"/>
              <w:bottom w:val="single" w:color="CBD5E1" w:sz="1"/>
              <w:right w:val="single" w:color="CBD5E1" w:sz="1"/>
            </w:tcBorders>
            <w:shd w:fill="0A1628" w:val="clear"/>
            <w:tcMar>
              <w:top w:type="dxa" w:w="80"/>
              <w:left w:type="dxa" w:w="80"/>
              <w:bottom w:type="dxa" w:w="80"/>
              <w:right w:type="dxa" w:w="80"/>
            </w:tcMar>
            <w:vAlign w:val="center"/>
          </w:tcPr>
          <w:p>
            <w:pPr>
              <w:jc w:val="center"/>
            </w:pPr>
            <w:r>
              <w:rPr>
                <w:rFonts w:ascii="Arial" w:cs="Arial" w:eastAsia="Arial" w:hAnsi="Arial"/>
                <w:b/>
                <w:bCs/>
                <w:color w:val="00B4D8"/>
                <w:sz w:val="22"/>
                <w:szCs w:val="22"/>
              </w:rPr>
              <w:t xml:space="preserve">⑧</w:t>
            </w:r>
          </w:p>
        </w:tc>
        <w:tc>
          <w:tcPr>
            <w:tcW w:type="dxa" w:w="8760"/>
            <w:tcBorders>
              <w:top w:val="single" w:color="CBD5E1" w:sz="1"/>
              <w:left w:val="single" w:color="CBD5E1" w:sz="1"/>
              <w:bottom w:val="single" w:color="CBD5E1" w:sz="1"/>
              <w:right w:val="single" w:color="CBD5E1" w:sz="1"/>
            </w:tcBorders>
            <w:shd w:fill="FFFFFF" w:val="clear"/>
            <w:tcMar>
              <w:top w:type="dxa" w:w="80"/>
              <w:left w:type="dxa" w:w="140"/>
              <w:bottom w:type="dxa" w:w="80"/>
              <w:right w:type="dxa" w:w="120"/>
            </w:tcMar>
          </w:tcPr>
          <w:p>
            <w:r>
              <w:rPr>
                <w:rFonts w:ascii="Arial" w:cs="Arial" w:eastAsia="Arial" w:hAnsi="Arial"/>
                <w:color w:val="1E293B"/>
                <w:sz w:val="20"/>
                <w:szCs w:val="20"/>
              </w:rPr>
              <w:t xml:space="preserve">Transaction broadcasts: 80% to provider wallet, 19% to platform, 1% to referrer (if user was referred). Settlement completes in under 1 second.</w:t>
            </w:r>
          </w:p>
        </w:tc>
      </w:tr>
    </w:tbl>
    <w:p>
      <w:pPr>
        <w:spacing w:after="0" w:before="120"/>
      </w:pPr>
    </w:p>
    <w:p>
      <w:pPr>
        <w:pStyle w:val="Heading2"/>
        <w:spacing w:after="100" w:before="320"/>
      </w:pPr>
      <w:r>
        <w:rPr>
          <w:rFonts w:ascii="Arial" w:cs="Arial" w:eastAsia="Arial" w:hAnsi="Arial"/>
          <w:b/>
          <w:bCs/>
          <w:color w:val="0A1628"/>
          <w:sz w:val="26"/>
          <w:szCs w:val="26"/>
        </w:rPr>
        <w:t xml:space="preserve">2.3 Provider Node Architecture</w:t>
      </w:r>
    </w:p>
    <w:p>
      <w:pPr>
        <w:spacing w:after="80" w:before="60"/>
      </w:pPr>
      <w:r>
        <w:rPr>
          <w:rFonts w:ascii="Arial" w:cs="Arial" w:eastAsia="Arial" w:hAnsi="Arial"/>
          <w:color w:val="1E293B"/>
          <w:sz w:val="22"/>
          <w:szCs w:val="22"/>
        </w:rPr>
        <w:t xml:space="preserve">A DEcentAI provider node is any internet-connected computer that meets the minimum hardware requirements. The node runs two processes: the Ollama inference engine and the DEcentAI agent script.</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200"/>
        <w:gridCol w:w="2760"/>
      </w:tblGrid>
      <w:tr>
        <w:tc>
          <w:tcPr>
            <w:tcW w:type="dxa" w:w="2200"/>
            <w:tcBorders>
              <w:top w:val="single" w:color="CBD5E1" w:sz="1"/>
              <w:left w:val="single" w:color="CBD5E1" w:sz="1"/>
              <w:bottom w:val="single" w:color="CBD5E1" w:sz="1"/>
              <w:right w:val="single" w:color="CBD5E1" w:sz="1"/>
            </w:tcBorders>
            <w:shd w:fill="0A1628" w:val="clear"/>
            <w:tcMar>
              <w:top w:type="dxa" w:w="80"/>
              <w:left w:type="dxa" w:w="120"/>
              <w:bottom w:type="dxa" w:w="80"/>
              <w:right w:type="dxa" w:w="80"/>
            </w:tcMar>
          </w:tcPr>
          <w:p>
            <w:r>
              <w:rPr>
                <w:rFonts w:ascii="Arial" w:cs="Arial" w:eastAsia="Arial" w:hAnsi="Arial"/>
                <w:b/>
                <w:bCs/>
                <w:color w:val="FFFFFF"/>
                <w:sz w:val="19"/>
                <w:szCs w:val="19"/>
              </w:rPr>
              <w:t xml:space="preserve">Tier</w:t>
            </w:r>
          </w:p>
        </w:tc>
        <w:tc>
          <w:tcPr>
            <w:tcW w:type="dxa" w:w="2200"/>
            <w:tcBorders>
              <w:top w:val="single" w:color="CBD5E1" w:sz="1"/>
              <w:left w:val="single" w:color="CBD5E1" w:sz="1"/>
              <w:bottom w:val="single" w:color="CBD5E1" w:sz="1"/>
              <w:right w:val="single" w:color="CBD5E1" w:sz="1"/>
            </w:tcBorders>
            <w:shd w:fill="0A1628" w:val="clear"/>
            <w:tcMar>
              <w:top w:type="dxa" w:w="80"/>
              <w:left w:type="dxa" w:w="120"/>
              <w:bottom w:type="dxa" w:w="80"/>
              <w:right w:type="dxa" w:w="80"/>
            </w:tcMar>
          </w:tcPr>
          <w:p>
            <w:r>
              <w:rPr>
                <w:rFonts w:ascii="Arial" w:cs="Arial" w:eastAsia="Arial" w:hAnsi="Arial"/>
                <w:b/>
                <w:bCs/>
                <w:color w:val="FFFFFF"/>
                <w:sz w:val="19"/>
                <w:szCs w:val="19"/>
              </w:rPr>
              <w:t xml:space="preserve">Hardware</w:t>
            </w:r>
          </w:p>
        </w:tc>
        <w:tc>
          <w:tcPr>
            <w:tcW w:type="dxa" w:w="2200"/>
            <w:tcBorders>
              <w:top w:val="single" w:color="CBD5E1" w:sz="1"/>
              <w:left w:val="single" w:color="CBD5E1" w:sz="1"/>
              <w:bottom w:val="single" w:color="CBD5E1" w:sz="1"/>
              <w:right w:val="single" w:color="CBD5E1" w:sz="1"/>
            </w:tcBorders>
            <w:shd w:fill="0A1628" w:val="clear"/>
            <w:tcMar>
              <w:top w:type="dxa" w:w="80"/>
              <w:left w:type="dxa" w:w="120"/>
              <w:bottom w:type="dxa" w:w="80"/>
              <w:right w:type="dxa" w:w="80"/>
            </w:tcMar>
          </w:tcPr>
          <w:p>
            <w:r>
              <w:rPr>
                <w:rFonts w:ascii="Arial" w:cs="Arial" w:eastAsia="Arial" w:hAnsi="Arial"/>
                <w:b/>
                <w:bCs/>
                <w:color w:val="FFFFFF"/>
                <w:sz w:val="19"/>
                <w:szCs w:val="19"/>
              </w:rPr>
              <w:t xml:space="preserve">Models Supported</w:t>
            </w:r>
          </w:p>
        </w:tc>
        <w:tc>
          <w:tcPr>
            <w:tcW w:type="dxa" w:w="2760"/>
            <w:tcBorders>
              <w:top w:val="single" w:color="CBD5E1" w:sz="1"/>
              <w:left w:val="single" w:color="CBD5E1" w:sz="1"/>
              <w:bottom w:val="single" w:color="CBD5E1" w:sz="1"/>
              <w:right w:val="single" w:color="CBD5E1" w:sz="1"/>
            </w:tcBorders>
            <w:shd w:fill="0A1628" w:val="clear"/>
            <w:tcMar>
              <w:top w:type="dxa" w:w="80"/>
              <w:left w:type="dxa" w:w="120"/>
              <w:bottom w:type="dxa" w:w="80"/>
              <w:right w:type="dxa" w:w="80"/>
            </w:tcMar>
          </w:tcPr>
          <w:p>
            <w:r>
              <w:rPr>
                <w:rFonts w:ascii="Arial" w:cs="Arial" w:eastAsia="Arial" w:hAnsi="Arial"/>
                <w:b/>
                <w:bCs/>
                <w:color w:val="FFFFFF"/>
                <w:sz w:val="19"/>
                <w:szCs w:val="19"/>
              </w:rPr>
              <w:t xml:space="preserve">Est. Tokens/sec</w:t>
            </w:r>
          </w:p>
        </w:tc>
      </w:tr>
      <w:tr>
        <w:tc>
          <w:tcPr>
            <w:tcW w:type="dxa" w:w="220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80"/>
            </w:tcMar>
          </w:tcPr>
          <w:p>
            <w:r>
              <w:rPr>
                <w:rFonts w:ascii="Arial" w:cs="Arial" w:eastAsia="Arial" w:hAnsi="Arial"/>
                <w:b/>
                <w:bCs/>
                <w:color w:val="00B4D8"/>
                <w:sz w:val="19"/>
                <w:szCs w:val="19"/>
              </w:rPr>
              <w:t xml:space="preserve">CPU Low</w:t>
            </w:r>
          </w:p>
        </w:tc>
        <w:tc>
          <w:tcPr>
            <w:tcW w:type="dxa" w:w="220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80"/>
            </w:tcMar>
          </w:tcPr>
          <w:p>
            <w:r>
              <w:rPr>
                <w:rFonts w:ascii="Arial" w:cs="Arial" w:eastAsia="Arial" w:hAnsi="Arial"/>
                <w:b w:val="false"/>
                <w:bCs w:val="false"/>
                <w:color w:val="1E293B"/>
                <w:sz w:val="19"/>
                <w:szCs w:val="19"/>
              </w:rPr>
              <w:t xml:space="preserve">4–8 GB RAM</w:t>
            </w:r>
          </w:p>
        </w:tc>
        <w:tc>
          <w:tcPr>
            <w:tcW w:type="dxa" w:w="220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80"/>
            </w:tcMar>
          </w:tcPr>
          <w:p>
            <w:r>
              <w:rPr>
                <w:rFonts w:ascii="Arial" w:cs="Arial" w:eastAsia="Arial" w:hAnsi="Arial"/>
                <w:b w:val="false"/>
                <w:bCs w:val="false"/>
                <w:color w:val="1E293B"/>
                <w:sz w:val="19"/>
                <w:szCs w:val="19"/>
              </w:rPr>
              <w:t xml:space="preserve">0.5B–2B models</w:t>
            </w:r>
          </w:p>
        </w:tc>
        <w:tc>
          <w:tcPr>
            <w:tcW w:type="dxa" w:w="276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80"/>
            </w:tcMar>
          </w:tcPr>
          <w:p>
            <w:r>
              <w:rPr>
                <w:rFonts w:ascii="Arial" w:cs="Arial" w:eastAsia="Arial" w:hAnsi="Arial"/>
                <w:b w:val="false"/>
                <w:bCs w:val="false"/>
                <w:color w:val="1E293B"/>
                <w:sz w:val="19"/>
                <w:szCs w:val="19"/>
              </w:rPr>
              <w:t xml:space="preserve">5–12 t/s</w:t>
            </w:r>
          </w:p>
        </w:tc>
      </w:tr>
      <w:tr>
        <w:tc>
          <w:tcPr>
            <w:tcW w:type="dxa" w:w="220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80"/>
            </w:tcMar>
          </w:tcPr>
          <w:p>
            <w:r>
              <w:rPr>
                <w:rFonts w:ascii="Arial" w:cs="Arial" w:eastAsia="Arial" w:hAnsi="Arial"/>
                <w:b/>
                <w:bCs/>
                <w:color w:val="00B4D8"/>
                <w:sz w:val="19"/>
                <w:szCs w:val="19"/>
              </w:rPr>
              <w:t xml:space="preserve">CPU Mid</w:t>
            </w:r>
          </w:p>
        </w:tc>
        <w:tc>
          <w:tcPr>
            <w:tcW w:type="dxa" w:w="220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80"/>
            </w:tcMar>
          </w:tcPr>
          <w:p>
            <w:r>
              <w:rPr>
                <w:rFonts w:ascii="Arial" w:cs="Arial" w:eastAsia="Arial" w:hAnsi="Arial"/>
                <w:b w:val="false"/>
                <w:bCs w:val="false"/>
                <w:color w:val="1E293B"/>
                <w:sz w:val="19"/>
                <w:szCs w:val="19"/>
              </w:rPr>
              <w:t xml:space="preserve">8–16 GB RAM</w:t>
            </w:r>
          </w:p>
        </w:tc>
        <w:tc>
          <w:tcPr>
            <w:tcW w:type="dxa" w:w="220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80"/>
            </w:tcMar>
          </w:tcPr>
          <w:p>
            <w:r>
              <w:rPr>
                <w:rFonts w:ascii="Arial" w:cs="Arial" w:eastAsia="Arial" w:hAnsi="Arial"/>
                <w:b w:val="false"/>
                <w:bCs w:val="false"/>
                <w:color w:val="1E293B"/>
                <w:sz w:val="19"/>
                <w:szCs w:val="19"/>
              </w:rPr>
              <w:t xml:space="preserve">3B–7B models</w:t>
            </w:r>
          </w:p>
        </w:tc>
        <w:tc>
          <w:tcPr>
            <w:tcW w:type="dxa" w:w="276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80"/>
            </w:tcMar>
          </w:tcPr>
          <w:p>
            <w:r>
              <w:rPr>
                <w:rFonts w:ascii="Arial" w:cs="Arial" w:eastAsia="Arial" w:hAnsi="Arial"/>
                <w:b w:val="false"/>
                <w:bCs w:val="false"/>
                <w:color w:val="1E293B"/>
                <w:sz w:val="19"/>
                <w:szCs w:val="19"/>
              </w:rPr>
              <w:t xml:space="preserve">3–8 t/s</w:t>
            </w:r>
          </w:p>
        </w:tc>
      </w:tr>
      <w:tr>
        <w:tc>
          <w:tcPr>
            <w:tcW w:type="dxa" w:w="220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80"/>
            </w:tcMar>
          </w:tcPr>
          <w:p>
            <w:r>
              <w:rPr>
                <w:rFonts w:ascii="Arial" w:cs="Arial" w:eastAsia="Arial" w:hAnsi="Arial"/>
                <w:b/>
                <w:bCs/>
                <w:color w:val="00B4D8"/>
                <w:sz w:val="19"/>
                <w:szCs w:val="19"/>
              </w:rPr>
              <w:t xml:space="preserve">CPU High</w:t>
            </w:r>
          </w:p>
        </w:tc>
        <w:tc>
          <w:tcPr>
            <w:tcW w:type="dxa" w:w="220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80"/>
            </w:tcMar>
          </w:tcPr>
          <w:p>
            <w:r>
              <w:rPr>
                <w:rFonts w:ascii="Arial" w:cs="Arial" w:eastAsia="Arial" w:hAnsi="Arial"/>
                <w:b w:val="false"/>
                <w:bCs w:val="false"/>
                <w:color w:val="1E293B"/>
                <w:sz w:val="19"/>
                <w:szCs w:val="19"/>
              </w:rPr>
              <w:t xml:space="preserve">16–32 GB RAM</w:t>
            </w:r>
          </w:p>
        </w:tc>
        <w:tc>
          <w:tcPr>
            <w:tcW w:type="dxa" w:w="220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80"/>
            </w:tcMar>
          </w:tcPr>
          <w:p>
            <w:r>
              <w:rPr>
                <w:rFonts w:ascii="Arial" w:cs="Arial" w:eastAsia="Arial" w:hAnsi="Arial"/>
                <w:b w:val="false"/>
                <w:bCs w:val="false"/>
                <w:color w:val="1E293B"/>
                <w:sz w:val="19"/>
                <w:szCs w:val="19"/>
              </w:rPr>
              <w:t xml:space="preserve">7B–14B models</w:t>
            </w:r>
          </w:p>
        </w:tc>
        <w:tc>
          <w:tcPr>
            <w:tcW w:type="dxa" w:w="276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80"/>
            </w:tcMar>
          </w:tcPr>
          <w:p>
            <w:r>
              <w:rPr>
                <w:rFonts w:ascii="Arial" w:cs="Arial" w:eastAsia="Arial" w:hAnsi="Arial"/>
                <w:b w:val="false"/>
                <w:bCs w:val="false"/>
                <w:color w:val="1E293B"/>
                <w:sz w:val="19"/>
                <w:szCs w:val="19"/>
              </w:rPr>
              <w:t xml:space="preserve">2–5 t/s</w:t>
            </w:r>
          </w:p>
        </w:tc>
      </w:tr>
      <w:tr>
        <w:tc>
          <w:tcPr>
            <w:tcW w:type="dxa" w:w="220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80"/>
            </w:tcMar>
          </w:tcPr>
          <w:p>
            <w:r>
              <w:rPr>
                <w:rFonts w:ascii="Arial" w:cs="Arial" w:eastAsia="Arial" w:hAnsi="Arial"/>
                <w:b/>
                <w:bCs/>
                <w:color w:val="00B4D8"/>
                <w:sz w:val="19"/>
                <w:szCs w:val="19"/>
              </w:rPr>
              <w:t xml:space="preserve">GPU Entry</w:t>
            </w:r>
          </w:p>
        </w:tc>
        <w:tc>
          <w:tcPr>
            <w:tcW w:type="dxa" w:w="220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80"/>
            </w:tcMar>
          </w:tcPr>
          <w:p>
            <w:r>
              <w:rPr>
                <w:rFonts w:ascii="Arial" w:cs="Arial" w:eastAsia="Arial" w:hAnsi="Arial"/>
                <w:b w:val="false"/>
                <w:bCs w:val="false"/>
                <w:color w:val="1E293B"/>
                <w:sz w:val="19"/>
                <w:szCs w:val="19"/>
              </w:rPr>
              <w:t xml:space="preserve">RTX 3060/4060 4–6GB VRAM</w:t>
            </w:r>
          </w:p>
        </w:tc>
        <w:tc>
          <w:tcPr>
            <w:tcW w:type="dxa" w:w="220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80"/>
            </w:tcMar>
          </w:tcPr>
          <w:p>
            <w:r>
              <w:rPr>
                <w:rFonts w:ascii="Arial" w:cs="Arial" w:eastAsia="Arial" w:hAnsi="Arial"/>
                <w:b w:val="false"/>
                <w:bCs w:val="false"/>
                <w:color w:val="1E293B"/>
                <w:sz w:val="19"/>
                <w:szCs w:val="19"/>
              </w:rPr>
              <w:t xml:space="preserve">7B models</w:t>
            </w:r>
          </w:p>
        </w:tc>
        <w:tc>
          <w:tcPr>
            <w:tcW w:type="dxa" w:w="276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80"/>
            </w:tcMar>
          </w:tcPr>
          <w:p>
            <w:r>
              <w:rPr>
                <w:rFonts w:ascii="Arial" w:cs="Arial" w:eastAsia="Arial" w:hAnsi="Arial"/>
                <w:b w:val="false"/>
                <w:bCs w:val="false"/>
                <w:color w:val="1E293B"/>
                <w:sz w:val="19"/>
                <w:szCs w:val="19"/>
              </w:rPr>
              <w:t xml:space="preserve">20–40 t/s</w:t>
            </w:r>
          </w:p>
        </w:tc>
      </w:tr>
      <w:tr>
        <w:tc>
          <w:tcPr>
            <w:tcW w:type="dxa" w:w="220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80"/>
            </w:tcMar>
          </w:tcPr>
          <w:p>
            <w:r>
              <w:rPr>
                <w:rFonts w:ascii="Arial" w:cs="Arial" w:eastAsia="Arial" w:hAnsi="Arial"/>
                <w:b/>
                <w:bCs/>
                <w:color w:val="00B4D8"/>
                <w:sz w:val="19"/>
                <w:szCs w:val="19"/>
              </w:rPr>
              <w:t xml:space="preserve">GPU Mid</w:t>
            </w:r>
          </w:p>
        </w:tc>
        <w:tc>
          <w:tcPr>
            <w:tcW w:type="dxa" w:w="220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80"/>
            </w:tcMar>
          </w:tcPr>
          <w:p>
            <w:r>
              <w:rPr>
                <w:rFonts w:ascii="Arial" w:cs="Arial" w:eastAsia="Arial" w:hAnsi="Arial"/>
                <w:b w:val="false"/>
                <w:bCs w:val="false"/>
                <w:color w:val="1E293B"/>
                <w:sz w:val="19"/>
                <w:szCs w:val="19"/>
              </w:rPr>
              <w:t xml:space="preserve">RTX 3070/4070 8–12GB VRAM</w:t>
            </w:r>
          </w:p>
        </w:tc>
        <w:tc>
          <w:tcPr>
            <w:tcW w:type="dxa" w:w="220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80"/>
            </w:tcMar>
          </w:tcPr>
          <w:p>
            <w:r>
              <w:rPr>
                <w:rFonts w:ascii="Arial" w:cs="Arial" w:eastAsia="Arial" w:hAnsi="Arial"/>
                <w:b w:val="false"/>
                <w:bCs w:val="false"/>
                <w:color w:val="1E293B"/>
                <w:sz w:val="19"/>
                <w:szCs w:val="19"/>
              </w:rPr>
              <w:t xml:space="preserve">7B–13B models</w:t>
            </w:r>
          </w:p>
        </w:tc>
        <w:tc>
          <w:tcPr>
            <w:tcW w:type="dxa" w:w="276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80"/>
            </w:tcMar>
          </w:tcPr>
          <w:p>
            <w:r>
              <w:rPr>
                <w:rFonts w:ascii="Arial" w:cs="Arial" w:eastAsia="Arial" w:hAnsi="Arial"/>
                <w:b w:val="false"/>
                <w:bCs w:val="false"/>
                <w:color w:val="1E293B"/>
                <w:sz w:val="19"/>
                <w:szCs w:val="19"/>
              </w:rPr>
              <w:t xml:space="preserve">30–60 t/s</w:t>
            </w:r>
          </w:p>
        </w:tc>
      </w:tr>
      <w:tr>
        <w:tc>
          <w:tcPr>
            <w:tcW w:type="dxa" w:w="220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80"/>
            </w:tcMar>
          </w:tcPr>
          <w:p>
            <w:r>
              <w:rPr>
                <w:rFonts w:ascii="Arial" w:cs="Arial" w:eastAsia="Arial" w:hAnsi="Arial"/>
                <w:b/>
                <w:bCs/>
                <w:color w:val="00B4D8"/>
                <w:sz w:val="19"/>
                <w:szCs w:val="19"/>
              </w:rPr>
              <w:t xml:space="preserve">GPU High</w:t>
            </w:r>
          </w:p>
        </w:tc>
        <w:tc>
          <w:tcPr>
            <w:tcW w:type="dxa" w:w="220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80"/>
            </w:tcMar>
          </w:tcPr>
          <w:p>
            <w:r>
              <w:rPr>
                <w:rFonts w:ascii="Arial" w:cs="Arial" w:eastAsia="Arial" w:hAnsi="Arial"/>
                <w:b w:val="false"/>
                <w:bCs w:val="false"/>
                <w:color w:val="1E293B"/>
                <w:sz w:val="19"/>
                <w:szCs w:val="19"/>
              </w:rPr>
              <w:t xml:space="preserve">RTX 3090/4090 16–24GB VRAM</w:t>
            </w:r>
          </w:p>
        </w:tc>
        <w:tc>
          <w:tcPr>
            <w:tcW w:type="dxa" w:w="220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80"/>
            </w:tcMar>
          </w:tcPr>
          <w:p>
            <w:r>
              <w:rPr>
                <w:rFonts w:ascii="Arial" w:cs="Arial" w:eastAsia="Arial" w:hAnsi="Arial"/>
                <w:b w:val="false"/>
                <w:bCs w:val="false"/>
                <w:color w:val="1E293B"/>
                <w:sz w:val="19"/>
                <w:szCs w:val="19"/>
              </w:rPr>
              <w:t xml:space="preserve">13B–34B models</w:t>
            </w:r>
          </w:p>
        </w:tc>
        <w:tc>
          <w:tcPr>
            <w:tcW w:type="dxa" w:w="276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80"/>
            </w:tcMar>
          </w:tcPr>
          <w:p>
            <w:r>
              <w:rPr>
                <w:rFonts w:ascii="Arial" w:cs="Arial" w:eastAsia="Arial" w:hAnsi="Arial"/>
                <w:b w:val="false"/>
                <w:bCs w:val="false"/>
                <w:color w:val="1E293B"/>
                <w:sz w:val="19"/>
                <w:szCs w:val="19"/>
              </w:rPr>
              <w:t xml:space="preserve">40–80 t/s</w:t>
            </w:r>
          </w:p>
        </w:tc>
      </w:tr>
      <w:tr>
        <w:tc>
          <w:tcPr>
            <w:tcW w:type="dxa" w:w="220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80"/>
            </w:tcMar>
          </w:tcPr>
          <w:p>
            <w:r>
              <w:rPr>
                <w:rFonts w:ascii="Arial" w:cs="Arial" w:eastAsia="Arial" w:hAnsi="Arial"/>
                <w:b/>
                <w:bCs/>
                <w:color w:val="00B4D8"/>
                <w:sz w:val="19"/>
                <w:szCs w:val="19"/>
              </w:rPr>
              <w:t xml:space="preserve">GPU Extreme</w:t>
            </w:r>
          </w:p>
        </w:tc>
        <w:tc>
          <w:tcPr>
            <w:tcW w:type="dxa" w:w="220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80"/>
            </w:tcMar>
          </w:tcPr>
          <w:p>
            <w:r>
              <w:rPr>
                <w:rFonts w:ascii="Arial" w:cs="Arial" w:eastAsia="Arial" w:hAnsi="Arial"/>
                <w:b w:val="false"/>
                <w:bCs w:val="false"/>
                <w:color w:val="1E293B"/>
                <w:sz w:val="19"/>
                <w:szCs w:val="19"/>
              </w:rPr>
              <w:t xml:space="preserve">24GB+ VRAM</w:t>
            </w:r>
          </w:p>
        </w:tc>
        <w:tc>
          <w:tcPr>
            <w:tcW w:type="dxa" w:w="220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80"/>
            </w:tcMar>
          </w:tcPr>
          <w:p>
            <w:r>
              <w:rPr>
                <w:rFonts w:ascii="Arial" w:cs="Arial" w:eastAsia="Arial" w:hAnsi="Arial"/>
                <w:b w:val="false"/>
                <w:bCs w:val="false"/>
                <w:color w:val="1E293B"/>
                <w:sz w:val="19"/>
                <w:szCs w:val="19"/>
              </w:rPr>
              <w:t xml:space="preserve">70B models</w:t>
            </w:r>
          </w:p>
        </w:tc>
        <w:tc>
          <w:tcPr>
            <w:tcW w:type="dxa" w:w="276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80"/>
            </w:tcMar>
          </w:tcPr>
          <w:p>
            <w:r>
              <w:rPr>
                <w:rFonts w:ascii="Arial" w:cs="Arial" w:eastAsia="Arial" w:hAnsi="Arial"/>
                <w:b w:val="false"/>
                <w:bCs w:val="false"/>
                <w:color w:val="1E293B"/>
                <w:sz w:val="19"/>
                <w:szCs w:val="19"/>
              </w:rPr>
              <w:t xml:space="preserve">50–120 t/s</w:t>
            </w:r>
          </w:p>
        </w:tc>
      </w:tr>
      <w:tr>
        <w:tc>
          <w:tcPr>
            <w:tcW w:type="dxa" w:w="220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80"/>
            </w:tcMar>
          </w:tcPr>
          <w:p>
            <w:r>
              <w:rPr>
                <w:rFonts w:ascii="Arial" w:cs="Arial" w:eastAsia="Arial" w:hAnsi="Arial"/>
                <w:b/>
                <w:bCs/>
                <w:color w:val="00B4D8"/>
                <w:sz w:val="19"/>
                <w:szCs w:val="19"/>
              </w:rPr>
              <w:t xml:space="preserve">Multi-GPU</w:t>
            </w:r>
          </w:p>
        </w:tc>
        <w:tc>
          <w:tcPr>
            <w:tcW w:type="dxa" w:w="220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80"/>
            </w:tcMar>
          </w:tcPr>
          <w:p>
            <w:r>
              <w:rPr>
                <w:rFonts w:ascii="Arial" w:cs="Arial" w:eastAsia="Arial" w:hAnsi="Arial"/>
                <w:b w:val="false"/>
                <w:bCs w:val="false"/>
                <w:color w:val="1E293B"/>
                <w:sz w:val="19"/>
                <w:szCs w:val="19"/>
              </w:rPr>
              <w:t xml:space="preserve">80GB+ total VRAM</w:t>
            </w:r>
          </w:p>
        </w:tc>
        <w:tc>
          <w:tcPr>
            <w:tcW w:type="dxa" w:w="220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80"/>
            </w:tcMar>
          </w:tcPr>
          <w:p>
            <w:r>
              <w:rPr>
                <w:rFonts w:ascii="Arial" w:cs="Arial" w:eastAsia="Arial" w:hAnsi="Arial"/>
                <w:b w:val="false"/>
                <w:bCs w:val="false"/>
                <w:color w:val="1E293B"/>
                <w:sz w:val="19"/>
                <w:szCs w:val="19"/>
              </w:rPr>
              <w:t xml:space="preserve">70B–405B models</w:t>
            </w:r>
          </w:p>
        </w:tc>
        <w:tc>
          <w:tcPr>
            <w:tcW w:type="dxa" w:w="276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80"/>
            </w:tcMar>
          </w:tcPr>
          <w:p>
            <w:r>
              <w:rPr>
                <w:rFonts w:ascii="Arial" w:cs="Arial" w:eastAsia="Arial" w:hAnsi="Arial"/>
                <w:b w:val="false"/>
                <w:bCs w:val="false"/>
                <w:color w:val="1E293B"/>
                <w:sz w:val="19"/>
                <w:szCs w:val="19"/>
              </w:rPr>
              <w:t xml:space="preserve">100–300 t/s</w:t>
            </w:r>
          </w:p>
        </w:tc>
      </w:tr>
      <w:tr>
        <w:tc>
          <w:tcPr>
            <w:tcW w:type="dxa" w:w="220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80"/>
            </w:tcMar>
          </w:tcPr>
          <w:p>
            <w:r>
              <w:rPr>
                <w:rFonts w:ascii="Arial" w:cs="Arial" w:eastAsia="Arial" w:hAnsi="Arial"/>
                <w:b/>
                <w:bCs/>
                <w:color w:val="00B4D8"/>
                <w:sz w:val="19"/>
                <w:szCs w:val="19"/>
              </w:rPr>
              <w:t xml:space="preserve">Apple Silicon</w:t>
            </w:r>
          </w:p>
        </w:tc>
        <w:tc>
          <w:tcPr>
            <w:tcW w:type="dxa" w:w="220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80"/>
            </w:tcMar>
          </w:tcPr>
          <w:p>
            <w:r>
              <w:rPr>
                <w:rFonts w:ascii="Arial" w:cs="Arial" w:eastAsia="Arial" w:hAnsi="Arial"/>
                <w:b w:val="false"/>
                <w:bCs w:val="false"/>
                <w:color w:val="1E293B"/>
                <w:sz w:val="19"/>
                <w:szCs w:val="19"/>
              </w:rPr>
              <w:t xml:space="preserve">M1–M4 unified memory</w:t>
            </w:r>
          </w:p>
        </w:tc>
        <w:tc>
          <w:tcPr>
            <w:tcW w:type="dxa" w:w="220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80"/>
            </w:tcMar>
          </w:tcPr>
          <w:p>
            <w:r>
              <w:rPr>
                <w:rFonts w:ascii="Arial" w:cs="Arial" w:eastAsia="Arial" w:hAnsi="Arial"/>
                <w:b w:val="false"/>
                <w:bCs w:val="false"/>
                <w:color w:val="1E293B"/>
                <w:sz w:val="19"/>
                <w:szCs w:val="19"/>
              </w:rPr>
              <w:t xml:space="preserve">All sizes</w:t>
            </w:r>
          </w:p>
        </w:tc>
        <w:tc>
          <w:tcPr>
            <w:tcW w:type="dxa" w:w="276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80"/>
            </w:tcMar>
          </w:tcPr>
          <w:p>
            <w:r>
              <w:rPr>
                <w:rFonts w:ascii="Arial" w:cs="Arial" w:eastAsia="Arial" w:hAnsi="Arial"/>
                <w:b w:val="false"/>
                <w:bCs w:val="false"/>
                <w:color w:val="1E293B"/>
                <w:sz w:val="19"/>
                <w:szCs w:val="19"/>
              </w:rPr>
              <w:t xml:space="preserve">20–60 t/s</w:t>
            </w:r>
          </w:p>
        </w:tc>
      </w:tr>
    </w:tbl>
    <w:p>
      <w:r>
        <w:br/>
      </w:r>
    </w:p>
    <w:p>
      <w:pPr>
        <w:pStyle w:val="Heading1"/>
        <w:pBdr>
          <w:bottom w:val="single" w:color="00B4D8" w:sz="6" w:space="4"/>
        </w:pBdr>
        <w:spacing w:after="120" w:before="480"/>
      </w:pPr>
      <w:r>
        <w:rPr>
          <w:rFonts w:ascii="Arial" w:cs="Arial" w:eastAsia="Arial" w:hAnsi="Arial"/>
          <w:b/>
          <w:bCs/>
          <w:color w:val="0A1628"/>
          <w:sz w:val="34"/>
          <w:szCs w:val="34"/>
        </w:rPr>
        <w:t xml:space="preserve">3. Security Architecture</w:t>
      </w:r>
    </w:p>
    <w:p>
      <w:pPr>
        <w:pStyle w:val="Heading2"/>
        <w:spacing w:after="100" w:before="320"/>
      </w:pPr>
      <w:r>
        <w:rPr>
          <w:rFonts w:ascii="Arial" w:cs="Arial" w:eastAsia="Arial" w:hAnsi="Arial"/>
          <w:b/>
          <w:bCs/>
          <w:color w:val="0A1628"/>
          <w:sz w:val="26"/>
          <w:szCs w:val="26"/>
        </w:rPr>
        <w:t xml:space="preserve">3.1 The Trust Problem in Decentralized Systems</w:t>
      </w:r>
    </w:p>
    <w:p>
      <w:pPr>
        <w:spacing w:after="80" w:before="60"/>
      </w:pPr>
      <w:r>
        <w:rPr>
          <w:rFonts w:ascii="Arial" w:cs="Arial" w:eastAsia="Arial" w:hAnsi="Arial"/>
          <w:color w:val="1E293B"/>
          <w:sz w:val="22"/>
          <w:szCs w:val="22"/>
        </w:rPr>
        <w:t xml:space="preserve">Decentralization introduces a trust paradox: users must rely on unknown third parties to process their data, yet the entire premise of the system is to eliminate dependency on trusted intermediaries. DEcentAI resolves this paradox through three complementary mechanisms: structural isolation, cryptographic verification, and economic alignment.</w:t>
      </w:r>
    </w:p>
    <w:p>
      <w:pPr>
        <w:pStyle w:val="Heading2"/>
        <w:spacing w:after="100" w:before="320"/>
      </w:pPr>
      <w:r>
        <w:rPr>
          <w:rFonts w:ascii="Arial" w:cs="Arial" w:eastAsia="Arial" w:hAnsi="Arial"/>
          <w:b/>
          <w:bCs/>
          <w:color w:val="0A1628"/>
          <w:sz w:val="26"/>
          <w:szCs w:val="26"/>
        </w:rPr>
        <w:t xml:space="preserve">3.2 Structural Privacy — Why Architecture Beats Policy</w:t>
      </w:r>
    </w:p>
    <w:p>
      <w:pPr>
        <w:spacing w:after="80" w:before="60"/>
      </w:pPr>
      <w:r>
        <w:rPr>
          <w:rFonts w:ascii="Arial" w:cs="Arial" w:eastAsia="Arial" w:hAnsi="Arial"/>
          <w:color w:val="1E293B"/>
          <w:sz w:val="22"/>
          <w:szCs w:val="22"/>
        </w:rPr>
        <w:t xml:space="preserve">The most important security property of DEcentAI is architectural: the platform coordination server is never in the data path of a user's prompt. This is not a policy choice — it is an engineering constraint.</w:t>
      </w:r>
    </w:p>
    <w:p>
      <w:pPr>
        <w:pStyle w:val="ListParagraph"/>
        <w:numPr>
          <w:ilvl w:val="0"/>
          <w:numId w:val="2"/>
        </w:numPr>
        <w:spacing w:after="40" w:before="40"/>
      </w:pPr>
      <w:r>
        <w:rPr>
          <w:rFonts w:ascii="Arial" w:cs="Arial" w:eastAsia="Arial" w:hAnsi="Arial"/>
          <w:color w:val="1E293B"/>
          <w:sz w:val="21"/>
          <w:szCs w:val="21"/>
        </w:rPr>
        <w:t xml:space="preserve">User prompts travel through SSH tunnels that terminate at the provider node</w:t>
      </w:r>
    </w:p>
    <w:p>
      <w:pPr>
        <w:pStyle w:val="ListParagraph"/>
        <w:numPr>
          <w:ilvl w:val="0"/>
          <w:numId w:val="2"/>
        </w:numPr>
        <w:spacing w:after="40" w:before="40"/>
      </w:pPr>
      <w:r>
        <w:rPr>
          <w:rFonts w:ascii="Arial" w:cs="Arial" w:eastAsia="Arial" w:hAnsi="Arial"/>
          <w:color w:val="1E293B"/>
          <w:sz w:val="21"/>
          <w:szCs w:val="21"/>
        </w:rPr>
        <w:t xml:space="preserve">The platform server facilitates session setup but does not proxy or log prompt content</w:t>
      </w:r>
    </w:p>
    <w:p>
      <w:pPr>
        <w:pStyle w:val="ListParagraph"/>
        <w:numPr>
          <w:ilvl w:val="0"/>
          <w:numId w:val="2"/>
        </w:numPr>
        <w:spacing w:after="40" w:before="40"/>
      </w:pPr>
      <w:r>
        <w:rPr>
          <w:rFonts w:ascii="Arial" w:cs="Arial" w:eastAsia="Arial" w:hAnsi="Arial"/>
          <w:color w:val="1E293B"/>
          <w:sz w:val="21"/>
          <w:szCs w:val="21"/>
        </w:rPr>
        <w:t xml:space="preserve">Each session uses ephemeral keys generated for that conversation only</w:t>
      </w:r>
    </w:p>
    <w:p>
      <w:pPr>
        <w:pStyle w:val="ListParagraph"/>
        <w:numPr>
          <w:ilvl w:val="0"/>
          <w:numId w:val="2"/>
        </w:numPr>
        <w:spacing w:after="40" w:before="40"/>
      </w:pPr>
      <w:r>
        <w:rPr>
          <w:rFonts w:ascii="Arial" w:cs="Arial" w:eastAsia="Arial" w:hAnsi="Arial"/>
          <w:color w:val="1E293B"/>
          <w:sz w:val="21"/>
          <w:szCs w:val="21"/>
        </w:rPr>
        <w:t xml:space="preserve">Even if DEcentAI's servers were compromised, no historical prompt data would be exposed</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200"/>
        <w:gridCol w:w="9160"/>
      </w:tblGrid>
      <w:tr>
        <w:tc>
          <w:tcPr>
            <w:tcW w:type="dxa" w:w="200"/>
            <w:tcBorders>
              <w:top w:val="none" w:color="FFFFFF" w:sz="0"/>
              <w:left w:val="none" w:color="FFFFFF" w:sz="0"/>
              <w:bottom w:val="none" w:color="FFFFFF" w:sz="0"/>
              <w:right w:val="none" w:color="FFFFFF" w:sz="0"/>
            </w:tcBorders>
            <w:shd w:fill="10B981" w:val="clear"/>
          </w:tcPr>
          <w:p/>
        </w:tc>
        <w:tc>
          <w:tcPr>
            <w:tcW w:type="dxa" w:w="9160"/>
            <w:tcBorders>
              <w:top w:val="none" w:color="FFFFFF" w:sz="0"/>
              <w:left w:val="single" w:color="10B981" w:sz="12"/>
              <w:bottom w:val="none" w:color="FFFFFF" w:sz="0"/>
              <w:right w:val="none" w:color="FFFFFF" w:sz="0"/>
            </w:tcBorders>
            <w:shd w:fill="F8FAFC" w:val="clear"/>
            <w:tcMar>
              <w:top w:type="dxa" w:w="80"/>
              <w:left w:type="dxa" w:w="200"/>
              <w:bottom w:type="dxa" w:w="80"/>
              <w:right w:type="dxa" w:w="120"/>
            </w:tcMar>
          </w:tcPr>
          <w:p>
            <w:pPr>
              <w:spacing w:after="40" w:before="0"/>
            </w:pPr>
            <w:r>
              <w:rPr>
                <w:rFonts w:ascii="Arial" w:cs="Arial" w:eastAsia="Arial" w:hAnsi="Arial"/>
                <w:b/>
                <w:bCs/>
                <w:color w:val="10B981"/>
                <w:sz w:val="18"/>
                <w:szCs w:val="18"/>
              </w:rPr>
              <w:t xml:space="preserve">Security Principle</w:t>
            </w:r>
          </w:p>
          <w:p>
            <w:pPr>
              <w:spacing w:after="0" w:before="0"/>
            </w:pPr>
            <w:r>
              <w:rPr>
                <w:rFonts w:ascii="Arial" w:cs="Arial" w:eastAsia="Arial" w:hAnsi="Arial"/>
                <w:color w:val="334155"/>
                <w:sz w:val="20"/>
                <w:szCs w:val="20"/>
              </w:rPr>
              <w:t xml:space="preserve">A security guarantee that depends on a corporation choosing to honour it is not a security guarantee. DEcentAI's privacy is enforced by the network topology, not by our intentions.</w:t>
            </w:r>
          </w:p>
        </w:tc>
      </w:tr>
    </w:tbl>
    <w:p>
      <w:pPr>
        <w:spacing w:after="0" w:before="120"/>
      </w:pPr>
    </w:p>
    <w:p>
      <w:pPr>
        <w:pStyle w:val="Heading2"/>
        <w:spacing w:after="100" w:before="320"/>
      </w:pPr>
      <w:r>
        <w:rPr>
          <w:rFonts w:ascii="Arial" w:cs="Arial" w:eastAsia="Arial" w:hAnsi="Arial"/>
          <w:b/>
          <w:bCs/>
          <w:color w:val="0A1628"/>
          <w:sz w:val="26"/>
          <w:szCs w:val="26"/>
        </w:rPr>
        <w:t xml:space="preserve">3.3 Model Integrity Verification</w:t>
      </w:r>
    </w:p>
    <w:p>
      <w:pPr>
        <w:spacing w:after="80" w:before="60"/>
      </w:pPr>
      <w:r>
        <w:rPr>
          <w:rFonts w:ascii="Arial" w:cs="Arial" w:eastAsia="Arial" w:hAnsi="Arial"/>
          <w:color w:val="1E293B"/>
          <w:sz w:val="22"/>
          <w:szCs w:val="22"/>
        </w:rPr>
        <w:t xml:space="preserve">A provider running a tampered or substituted model is an existential threat to the platform's trustworthiness. DEcentAI mitigates this through SHA-256 model hash verification on every node heartbeat:</w:t>
      </w:r>
    </w:p>
    <w:p>
      <w:pPr>
        <w:pStyle w:val="ListParagraph"/>
        <w:numPr>
          <w:ilvl w:val="0"/>
          <w:numId w:val="2"/>
        </w:numPr>
        <w:spacing w:after="40" w:before="40"/>
      </w:pPr>
      <w:r>
        <w:rPr>
          <w:rFonts w:ascii="Arial" w:cs="Arial" w:eastAsia="Arial" w:hAnsi="Arial"/>
          <w:color w:val="1E293B"/>
          <w:sz w:val="21"/>
          <w:szCs w:val="21"/>
        </w:rPr>
        <w:t xml:space="preserve">When a provider registers a model, the expected SHA-256 hash is recorded on the platform</w:t>
      </w:r>
    </w:p>
    <w:p>
      <w:pPr>
        <w:pStyle w:val="ListParagraph"/>
        <w:numPr>
          <w:ilvl w:val="0"/>
          <w:numId w:val="2"/>
        </w:numPr>
        <w:spacing w:after="40" w:before="40"/>
      </w:pPr>
      <w:r>
        <w:rPr>
          <w:rFonts w:ascii="Arial" w:cs="Arial" w:eastAsia="Arial" w:hAnsi="Arial"/>
          <w:color w:val="1E293B"/>
          <w:sz w:val="21"/>
          <w:szCs w:val="21"/>
        </w:rPr>
        <w:t xml:space="preserve">Every 60 seconds, the provider agent computes the current hash of the loaded model weights</w:t>
      </w:r>
    </w:p>
    <w:p>
      <w:pPr>
        <w:pStyle w:val="ListParagraph"/>
        <w:numPr>
          <w:ilvl w:val="0"/>
          <w:numId w:val="2"/>
        </w:numPr>
        <w:spacing w:after="40" w:before="40"/>
      </w:pPr>
      <w:r>
        <w:rPr>
          <w:rFonts w:ascii="Arial" w:cs="Arial" w:eastAsia="Arial" w:hAnsi="Arial"/>
          <w:color w:val="1E293B"/>
          <w:sz w:val="21"/>
          <w:szCs w:val="21"/>
        </w:rPr>
        <w:t xml:space="preserve">If the hash does not match, the node is immediately suspended from the marketplace</w:t>
      </w:r>
    </w:p>
    <w:p>
      <w:pPr>
        <w:pStyle w:val="ListParagraph"/>
        <w:numPr>
          <w:ilvl w:val="0"/>
          <w:numId w:val="2"/>
        </w:numPr>
        <w:spacing w:after="40" w:before="40"/>
      </w:pPr>
      <w:r>
        <w:rPr>
          <w:rFonts w:ascii="Arial" w:cs="Arial" w:eastAsia="Arial" w:hAnsi="Arial"/>
          <w:color w:val="1E293B"/>
          <w:sz w:val="21"/>
          <w:szCs w:val="21"/>
        </w:rPr>
        <w:t xml:space="preserve">Users can verify the model hash independently before sending prompts</w:t>
      </w:r>
    </w:p>
    <w:p>
      <w:pPr>
        <w:spacing w:after="80" w:before="60"/>
      </w:pPr>
      <w:r>
        <w:rPr>
          <w:rFonts w:ascii="Arial" w:cs="Arial" w:eastAsia="Arial" w:hAnsi="Arial"/>
          <w:color w:val="1E293B"/>
          <w:sz w:val="22"/>
          <w:szCs w:val="22"/>
        </w:rPr>
        <w:t xml:space="preserve">This approach means users know not just which model they are using, but that the weights they are using are identical to the publicly known weights of that model.</w:t>
      </w:r>
    </w:p>
    <w:p>
      <w:pPr>
        <w:pStyle w:val="Heading2"/>
        <w:spacing w:after="100" w:before="320"/>
      </w:pPr>
      <w:r>
        <w:rPr>
          <w:rFonts w:ascii="Arial" w:cs="Arial" w:eastAsia="Arial" w:hAnsi="Arial"/>
          <w:b/>
          <w:bCs/>
          <w:color w:val="0A1628"/>
          <w:sz w:val="26"/>
          <w:szCs w:val="26"/>
        </w:rPr>
        <w:t xml:space="preserve">3.4 Hardware Attestation — TPM and TEE</w:t>
      </w:r>
    </w:p>
    <w:p>
      <w:pPr>
        <w:spacing w:after="80" w:before="60"/>
      </w:pPr>
      <w:r>
        <w:rPr>
          <w:rFonts w:ascii="Arial" w:cs="Arial" w:eastAsia="Arial" w:hAnsi="Arial"/>
          <w:color w:val="1E293B"/>
          <w:sz w:val="22"/>
          <w:szCs w:val="22"/>
        </w:rPr>
        <w:t xml:space="preserve">For the highest security tier, DEcentAI supports hardware attestation through Trusted Platform Module (TPM) and Trusted Execution Environment (TEE) verification:</w:t>
      </w:r>
    </w:p>
    <w:p>
      <w:pPr>
        <w:pStyle w:val="ListParagraph"/>
        <w:numPr>
          <w:ilvl w:val="0"/>
          <w:numId w:val="2"/>
        </w:numPr>
        <w:spacing w:after="40" w:before="40"/>
      </w:pPr>
      <w:r>
        <w:rPr>
          <w:rFonts w:ascii="Arial" w:cs="Arial" w:eastAsia="Arial" w:hAnsi="Arial"/>
          <w:color w:val="1E293B"/>
          <w:sz w:val="21"/>
          <w:szCs w:val="21"/>
        </w:rPr>
        <w:t xml:space="preserve">TPM attestation provides cryptographic proof that the provider's machine has not been tampered with at the firmware level</w:t>
      </w:r>
    </w:p>
    <w:p>
      <w:pPr>
        <w:pStyle w:val="ListParagraph"/>
        <w:numPr>
          <w:ilvl w:val="0"/>
          <w:numId w:val="2"/>
        </w:numPr>
        <w:spacing w:after="40" w:before="40"/>
      </w:pPr>
      <w:r>
        <w:rPr>
          <w:rFonts w:ascii="Arial" w:cs="Arial" w:eastAsia="Arial" w:hAnsi="Arial"/>
          <w:color w:val="1E293B"/>
          <w:sz w:val="21"/>
          <w:szCs w:val="21"/>
        </w:rPr>
        <w:t xml:space="preserve">TEE environments (Intel SGX, AMD SEV) allow computation to occur in isolated memory regions that cannot be accessed even by the host operating system</w:t>
      </w:r>
    </w:p>
    <w:p>
      <w:pPr>
        <w:pStyle w:val="ListParagraph"/>
        <w:numPr>
          <w:ilvl w:val="0"/>
          <w:numId w:val="2"/>
        </w:numPr>
        <w:spacing w:after="40" w:before="40"/>
      </w:pPr>
      <w:r>
        <w:rPr>
          <w:rFonts w:ascii="Arial" w:cs="Arial" w:eastAsia="Arial" w:hAnsi="Arial"/>
          <w:color w:val="1E293B"/>
          <w:sz w:val="21"/>
          <w:szCs w:val="21"/>
        </w:rPr>
        <w:t xml:space="preserve">Nodes with verified attestation receive a trust badge in the marketplace and can command higher prompt fees</w:t>
      </w:r>
    </w:p>
    <w:p>
      <w:pPr>
        <w:pStyle w:val="ListParagraph"/>
        <w:numPr>
          <w:ilvl w:val="0"/>
          <w:numId w:val="2"/>
        </w:numPr>
        <w:spacing w:after="40" w:before="40"/>
      </w:pPr>
      <w:r>
        <w:rPr>
          <w:rFonts w:ascii="Arial" w:cs="Arial" w:eastAsia="Arial" w:hAnsi="Arial"/>
          <w:color w:val="1E293B"/>
          <w:sz w:val="21"/>
          <w:szCs w:val="21"/>
        </w:rPr>
        <w:t xml:space="preserve">The attestation report is published on-chain so any user can independently verify a node's security posture</w:t>
      </w:r>
    </w:p>
    <w:p>
      <w:pPr>
        <w:pStyle w:val="Heading2"/>
        <w:spacing w:after="100" w:before="320"/>
      </w:pPr>
      <w:r>
        <w:rPr>
          <w:rFonts w:ascii="Arial" w:cs="Arial" w:eastAsia="Arial" w:hAnsi="Arial"/>
          <w:b/>
          <w:bCs/>
          <w:color w:val="0A1628"/>
          <w:sz w:val="26"/>
          <w:szCs w:val="26"/>
        </w:rPr>
        <w:t xml:space="preserve">3.5 Economic Security — Alignment Over Control</w:t>
      </w:r>
    </w:p>
    <w:p>
      <w:pPr>
        <w:spacing w:after="80" w:before="60"/>
      </w:pPr>
      <w:r>
        <w:rPr>
          <w:rFonts w:ascii="Arial" w:cs="Arial" w:eastAsia="Arial" w:hAnsi="Arial"/>
          <w:color w:val="1E293B"/>
          <w:sz w:val="22"/>
          <w:szCs w:val="22"/>
        </w:rPr>
        <w:t xml:space="preserve">The final security layer is economic. A provider who behaves maliciously — serving fake models, logging user data, going offline mid-session — damages their own income stream:</w:t>
      </w:r>
    </w:p>
    <w:p>
      <w:pPr>
        <w:pStyle w:val="ListParagraph"/>
        <w:numPr>
          <w:ilvl w:val="0"/>
          <w:numId w:val="2"/>
        </w:numPr>
        <w:spacing w:after="40" w:before="40"/>
      </w:pPr>
      <w:r>
        <w:rPr>
          <w:rFonts w:ascii="Arial" w:cs="Arial" w:eastAsia="Arial" w:hAnsi="Arial"/>
          <w:color w:val="1E293B"/>
          <w:sz w:val="21"/>
          <w:szCs w:val="21"/>
        </w:rPr>
        <w:t xml:space="preserve">Reputation scoring reduces future bookings for nodes with poor performance metrics</w:t>
      </w:r>
    </w:p>
    <w:p>
      <w:pPr>
        <w:pStyle w:val="ListParagraph"/>
        <w:numPr>
          <w:ilvl w:val="0"/>
          <w:numId w:val="2"/>
        </w:numPr>
        <w:spacing w:after="40" w:before="40"/>
      </w:pPr>
      <w:r>
        <w:rPr>
          <w:rFonts w:ascii="Arial" w:cs="Arial" w:eastAsia="Arial" w:hAnsi="Arial"/>
          <w:color w:val="1E293B"/>
          <w:sz w:val="21"/>
          <w:szCs w:val="21"/>
        </w:rPr>
        <w:t xml:space="preserve">Payment is post-completion, not pre-paid, so providers must deliver to receive DECNT</w:t>
      </w:r>
    </w:p>
    <w:p>
      <w:pPr>
        <w:pStyle w:val="ListParagraph"/>
        <w:numPr>
          <w:ilvl w:val="0"/>
          <w:numId w:val="2"/>
        </w:numPr>
        <w:spacing w:after="40" w:before="40"/>
      </w:pPr>
      <w:r>
        <w:rPr>
          <w:rFonts w:ascii="Arial" w:cs="Arial" w:eastAsia="Arial" w:hAnsi="Arial"/>
          <w:color w:val="1E293B"/>
          <w:sz w:val="21"/>
          <w:szCs w:val="21"/>
        </w:rPr>
        <w:t xml:space="preserve">Node suspension removes the provider from the marketplace immediately upon detected violations</w:t>
      </w:r>
    </w:p>
    <w:p>
      <w:pPr>
        <w:pStyle w:val="ListParagraph"/>
        <w:numPr>
          <w:ilvl w:val="0"/>
          <w:numId w:val="2"/>
        </w:numPr>
        <w:spacing w:after="40" w:before="40"/>
      </w:pPr>
      <w:r>
        <w:rPr>
          <w:rFonts w:ascii="Arial" w:cs="Arial" w:eastAsia="Arial" w:hAnsi="Arial"/>
          <w:color w:val="1E293B"/>
          <w:sz w:val="21"/>
          <w:szCs w:val="21"/>
        </w:rPr>
        <w:t xml:space="preserve">Referral rewards create incentive for referrers to bring high-quality users, not spam accounts</w:t>
      </w:r>
    </w:p>
    <w:p>
      <w:pPr>
        <w:spacing w:after="80" w:before="60"/>
      </w:pPr>
      <w:r>
        <w:rPr>
          <w:rFonts w:ascii="Arial" w:cs="Arial" w:eastAsia="Arial" w:hAnsi="Arial"/>
          <w:color w:val="1E293B"/>
          <w:sz w:val="22"/>
          <w:szCs w:val="22"/>
        </w:rPr>
        <w:t xml:space="preserve">This alignment means the security of the system improves as the network grows, rather than degrading — a property not shared by centralized systems where a single compromise can affect all users.</w:t>
      </w:r>
    </w:p>
    <w:p>
      <w:r>
        <w:br/>
      </w:r>
    </w:p>
    <w:p>
      <w:pPr>
        <w:pStyle w:val="Heading1"/>
        <w:pBdr>
          <w:bottom w:val="single" w:color="00B4D8" w:sz="6" w:space="4"/>
        </w:pBdr>
        <w:spacing w:after="120" w:before="480"/>
      </w:pPr>
      <w:r>
        <w:rPr>
          <w:rFonts w:ascii="Arial" w:cs="Arial" w:eastAsia="Arial" w:hAnsi="Arial"/>
          <w:b/>
          <w:bCs/>
          <w:color w:val="0A1628"/>
          <w:sz w:val="34"/>
          <w:szCs w:val="34"/>
        </w:rPr>
        <w:t xml:space="preserve">4. Incentive Architecture</w:t>
      </w:r>
    </w:p>
    <w:p>
      <w:pPr>
        <w:pStyle w:val="Heading2"/>
        <w:spacing w:after="100" w:before="320"/>
      </w:pPr>
      <w:r>
        <w:rPr>
          <w:rFonts w:ascii="Arial" w:cs="Arial" w:eastAsia="Arial" w:hAnsi="Arial"/>
          <w:b/>
          <w:bCs/>
          <w:color w:val="0A1628"/>
          <w:sz w:val="26"/>
          <w:szCs w:val="26"/>
        </w:rPr>
        <w:t xml:space="preserve">4.1 The Payment Split</w:t>
      </w:r>
    </w:p>
    <w:p>
      <w:pPr>
        <w:spacing w:after="80" w:before="60"/>
      </w:pPr>
      <w:r>
        <w:rPr>
          <w:rFonts w:ascii="Arial" w:cs="Arial" w:eastAsia="Arial" w:hAnsi="Arial"/>
          <w:color w:val="1E293B"/>
          <w:sz w:val="22"/>
          <w:szCs w:val="22"/>
        </w:rPr>
        <w:t xml:space="preserve">Every prompt payment in DEcentAI is automatically split between three parties in a single atomic Solana transaction:</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4080"/>
        <w:gridCol w:w="4080"/>
      </w:tblGrid>
      <w:tr>
        <w:tc>
          <w:tcPr>
            <w:tcW w:type="dxa" w:w="1200"/>
            <w:tcBorders>
              <w:top w:val="single" w:color="CBD5E1" w:sz="1"/>
              <w:left w:val="single" w:color="CBD5E1" w:sz="1"/>
              <w:bottom w:val="single" w:color="CBD5E1" w:sz="1"/>
              <w:right w:val="single" w:color="CBD5E1" w:sz="1"/>
            </w:tcBorders>
            <w:shd w:fill="0A1628" w:val="clear"/>
            <w:tcMar>
              <w:top w:type="dxa" w:w="80"/>
              <w:left w:type="dxa" w:w="120"/>
              <w:bottom w:type="dxa" w:w="80"/>
              <w:right w:type="dxa" w:w="120"/>
            </w:tcMar>
          </w:tcPr>
          <w:p>
            <w:r>
              <w:rPr>
                <w:rFonts w:ascii="Arial" w:cs="Arial" w:eastAsia="Arial" w:hAnsi="Arial"/>
                <w:b/>
                <w:bCs/>
                <w:color w:val="FFFFFF"/>
                <w:sz w:val="20"/>
                <w:szCs w:val="20"/>
              </w:rPr>
              <w:t xml:space="preserve">Share</w:t>
            </w:r>
          </w:p>
        </w:tc>
        <w:tc>
          <w:tcPr>
            <w:tcW w:type="dxa" w:w="4080"/>
            <w:tcBorders>
              <w:top w:val="single" w:color="CBD5E1" w:sz="1"/>
              <w:left w:val="single" w:color="CBD5E1" w:sz="1"/>
              <w:bottom w:val="single" w:color="CBD5E1" w:sz="1"/>
              <w:right w:val="single" w:color="CBD5E1" w:sz="1"/>
            </w:tcBorders>
            <w:shd w:fill="0A1628" w:val="clear"/>
            <w:tcMar>
              <w:top w:type="dxa" w:w="80"/>
              <w:left w:type="dxa" w:w="120"/>
              <w:bottom w:type="dxa" w:w="80"/>
              <w:right w:type="dxa" w:w="120"/>
            </w:tcMar>
          </w:tcPr>
          <w:p>
            <w:r>
              <w:rPr>
                <w:rFonts w:ascii="Arial" w:cs="Arial" w:eastAsia="Arial" w:hAnsi="Arial"/>
                <w:b/>
                <w:bCs/>
                <w:color w:val="FFFFFF"/>
                <w:sz w:val="20"/>
                <w:szCs w:val="20"/>
              </w:rPr>
              <w:t xml:space="preserve">Recipient</w:t>
            </w:r>
          </w:p>
        </w:tc>
        <w:tc>
          <w:tcPr>
            <w:tcW w:type="dxa" w:w="4080"/>
            <w:tcBorders>
              <w:top w:val="single" w:color="CBD5E1" w:sz="1"/>
              <w:left w:val="single" w:color="CBD5E1" w:sz="1"/>
              <w:bottom w:val="single" w:color="CBD5E1" w:sz="1"/>
              <w:right w:val="single" w:color="CBD5E1" w:sz="1"/>
            </w:tcBorders>
            <w:shd w:fill="0A1628" w:val="clear"/>
            <w:tcMar>
              <w:top w:type="dxa" w:w="80"/>
              <w:left w:type="dxa" w:w="120"/>
              <w:bottom w:type="dxa" w:w="80"/>
              <w:right w:type="dxa" w:w="120"/>
            </w:tcMar>
          </w:tcPr>
          <w:p>
            <w:r>
              <w:rPr>
                <w:rFonts w:ascii="Arial" w:cs="Arial" w:eastAsia="Arial" w:hAnsi="Arial"/>
                <w:b/>
                <w:bCs/>
                <w:color w:val="FFFFFF"/>
                <w:sz w:val="20"/>
                <w:szCs w:val="20"/>
              </w:rPr>
              <w:t xml:space="preserve">Rationale</w:t>
            </w:r>
          </w:p>
        </w:tc>
      </w:tr>
      <w:tr>
        <w:tc>
          <w:tcPr>
            <w:tcW w:type="dxa" w:w="12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pPr>
              <w:jc w:val="center"/>
            </w:pPr>
            <w:r>
              <w:rPr>
                <w:rFonts w:ascii="Arial" w:cs="Arial" w:eastAsia="Arial" w:hAnsi="Arial"/>
                <w:b/>
                <w:bCs/>
                <w:color w:val="10B981"/>
                <w:sz w:val="26"/>
                <w:szCs w:val="26"/>
              </w:rPr>
              <w:t xml:space="preserve">80%</w:t>
            </w:r>
          </w:p>
        </w:tc>
        <w:tc>
          <w:tcPr>
            <w:tcW w:type="dxa" w:w="408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bCs/>
                <w:color w:val="0A1628"/>
                <w:sz w:val="20"/>
                <w:szCs w:val="20"/>
              </w:rPr>
              <w:t xml:space="preserve">Provider / Host</w:t>
            </w:r>
          </w:p>
        </w:tc>
        <w:tc>
          <w:tcPr>
            <w:tcW w:type="dxa" w:w="408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color w:val="334155"/>
                <w:sz w:val="19"/>
                <w:szCs w:val="19"/>
              </w:rPr>
              <w:t xml:space="preserve">The majority of value created goes to the party doing the work. This is deliberate — it makes hosting economically attractive without requiring large hardware investment.</w:t>
            </w:r>
          </w:p>
        </w:tc>
      </w:tr>
      <w:tr>
        <w:tc>
          <w:tcPr>
            <w:tcW w:type="dxa" w:w="12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pPr>
              <w:jc w:val="center"/>
            </w:pPr>
            <w:r>
              <w:rPr>
                <w:rFonts w:ascii="Arial" w:cs="Arial" w:eastAsia="Arial" w:hAnsi="Arial"/>
                <w:b/>
                <w:bCs/>
                <w:color w:val="00B4D8"/>
                <w:sz w:val="26"/>
                <w:szCs w:val="26"/>
              </w:rPr>
              <w:t xml:space="preserve">19%</w:t>
            </w:r>
          </w:p>
        </w:tc>
        <w:tc>
          <w:tcPr>
            <w:tcW w:type="dxa" w:w="40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bCs/>
                <w:color w:val="0A1628"/>
                <w:sz w:val="20"/>
                <w:szCs w:val="20"/>
              </w:rPr>
              <w:t xml:space="preserve">DEcentAI Platform</w:t>
            </w:r>
          </w:p>
        </w:tc>
        <w:tc>
          <w:tcPr>
            <w:tcW w:type="dxa" w:w="408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color w:val="334155"/>
                <w:sz w:val="19"/>
                <w:szCs w:val="19"/>
              </w:rPr>
              <w:t xml:space="preserve">Covers infrastructure, development, security monitoring, and marketplace maintenance. The lowest platform fee in the decentralized AI space.</w:t>
            </w:r>
          </w:p>
        </w:tc>
      </w:tr>
      <w:tr>
        <w:tc>
          <w:tcPr>
            <w:tcW w:type="dxa" w:w="120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pPr>
              <w:jc w:val="center"/>
            </w:pPr>
            <w:r>
              <w:rPr>
                <w:rFonts w:ascii="Arial" w:cs="Arial" w:eastAsia="Arial" w:hAnsi="Arial"/>
                <w:b/>
                <w:bCs/>
                <w:color w:val="8B5CF6"/>
                <w:sz w:val="26"/>
                <w:szCs w:val="26"/>
              </w:rPr>
              <w:t xml:space="preserve">1%</w:t>
            </w:r>
          </w:p>
        </w:tc>
        <w:tc>
          <w:tcPr>
            <w:tcW w:type="dxa" w:w="408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b/>
                <w:bCs/>
                <w:color w:val="0A1628"/>
                <w:sz w:val="20"/>
                <w:szCs w:val="20"/>
              </w:rPr>
              <w:t xml:space="preserve">Referrer (if any)</w:t>
            </w:r>
          </w:p>
        </w:tc>
        <w:tc>
          <w:tcPr>
            <w:tcW w:type="dxa" w:w="4080"/>
            <w:tcBorders>
              <w:top w:val="single" w:color="CBD5E1" w:sz="1"/>
              <w:left w:val="single" w:color="CBD5E1" w:sz="1"/>
              <w:bottom w:val="single" w:color="CBD5E1" w:sz="1"/>
              <w:right w:val="single" w:color="CBD5E1" w:sz="1"/>
            </w:tcBorders>
            <w:shd w:fill="F8FAFC" w:val="clear"/>
            <w:tcMar>
              <w:top w:type="dxa" w:w="80"/>
              <w:left w:type="dxa" w:w="120"/>
              <w:bottom w:type="dxa" w:w="80"/>
              <w:right w:type="dxa" w:w="120"/>
            </w:tcMar>
          </w:tcPr>
          <w:p>
            <w:r>
              <w:rPr>
                <w:rFonts w:ascii="Arial" w:cs="Arial" w:eastAsia="Arial" w:hAnsi="Arial"/>
                <w:color w:val="334155"/>
                <w:sz w:val="19"/>
                <w:szCs w:val="19"/>
              </w:rPr>
              <w:t xml:space="preserve">Perpetual passive income for bringing users to the network. Every prompt a referred user ever sends earns the referrer 1%, automatically, on-chain.</w:t>
            </w:r>
          </w:p>
        </w:tc>
      </w:tr>
    </w:tbl>
    <w:p>
      <w:pPr>
        <w:spacing w:after="0" w:before="120"/>
      </w:pPr>
    </w:p>
    <w:p>
      <w:pPr>
        <w:pStyle w:val="Heading2"/>
        <w:spacing w:after="100" w:before="320"/>
      </w:pPr>
      <w:r>
        <w:rPr>
          <w:rFonts w:ascii="Arial" w:cs="Arial" w:eastAsia="Arial" w:hAnsi="Arial"/>
          <w:b/>
          <w:bCs/>
          <w:color w:val="0A1628"/>
          <w:sz w:val="26"/>
          <w:szCs w:val="26"/>
        </w:rPr>
        <w:t xml:space="preserve">4.2 Provider Incentives — Why Host?</w:t>
      </w:r>
    </w:p>
    <w:p>
      <w:pPr>
        <w:spacing w:after="80" w:before="60"/>
      </w:pPr>
      <w:r>
        <w:rPr>
          <w:rFonts w:ascii="Arial" w:cs="Arial" w:eastAsia="Arial" w:hAnsi="Arial"/>
          <w:color w:val="1E293B"/>
          <w:sz w:val="22"/>
          <w:szCs w:val="22"/>
        </w:rPr>
        <w:t xml:space="preserve">The provider incentive case is straightforward: idle compute is wasted compute. A mid-range gaming GPU running DEcentAI earns DECNT tokens 24 hours a day with zero marginal effort after initial setup.</w:t>
      </w:r>
    </w:p>
    <w:p>
      <w:pPr>
        <w:pStyle w:val="ListParagraph"/>
        <w:numPr>
          <w:ilvl w:val="0"/>
          <w:numId w:val="2"/>
        </w:numPr>
        <w:spacing w:after="40" w:before="40"/>
      </w:pPr>
      <w:r>
        <w:rPr>
          <w:rFonts w:ascii="Arial" w:cs="Arial" w:eastAsia="Arial" w:hAnsi="Arial"/>
          <w:color w:val="1E293B"/>
          <w:sz w:val="21"/>
          <w:szCs w:val="21"/>
        </w:rPr>
        <w:t xml:space="preserve">Setup takes one command — python3 setup.py — and approximately 15 minutes</w:t>
      </w:r>
    </w:p>
    <w:p>
      <w:pPr>
        <w:pStyle w:val="ListParagraph"/>
        <w:numPr>
          <w:ilvl w:val="0"/>
          <w:numId w:val="2"/>
        </w:numPr>
        <w:spacing w:after="40" w:before="40"/>
      </w:pPr>
      <w:r>
        <w:rPr>
          <w:rFonts w:ascii="Arial" w:cs="Arial" w:eastAsia="Arial" w:hAnsi="Arial"/>
          <w:color w:val="1E293B"/>
          <w:sz w:val="21"/>
          <w:szCs w:val="21"/>
        </w:rPr>
        <w:t xml:space="preserve">The node runs passively in the background with no ongoing management required</w:t>
      </w:r>
    </w:p>
    <w:p>
      <w:pPr>
        <w:pStyle w:val="ListParagraph"/>
        <w:numPr>
          <w:ilvl w:val="0"/>
          <w:numId w:val="2"/>
        </w:numPr>
        <w:spacing w:after="40" w:before="40"/>
      </w:pPr>
      <w:r>
        <w:rPr>
          <w:rFonts w:ascii="Arial" w:cs="Arial" w:eastAsia="Arial" w:hAnsi="Arial"/>
          <w:color w:val="1E293B"/>
          <w:sz w:val="21"/>
          <w:szCs w:val="21"/>
        </w:rPr>
        <w:t xml:space="preserve">Hardware tiers ensure any capable machine can participate — from a gaming laptop to a server rack</w:t>
      </w:r>
    </w:p>
    <w:p>
      <w:pPr>
        <w:pStyle w:val="ListParagraph"/>
        <w:numPr>
          <w:ilvl w:val="0"/>
          <w:numId w:val="2"/>
        </w:numPr>
        <w:spacing w:after="40" w:before="40"/>
      </w:pPr>
      <w:r>
        <w:rPr>
          <w:rFonts w:ascii="Arial" w:cs="Arial" w:eastAsia="Arial" w:hAnsi="Arial"/>
          <w:color w:val="1E293B"/>
          <w:sz w:val="21"/>
          <w:szCs w:val="21"/>
        </w:rPr>
        <w:t xml:space="preserve">Providers set their own price per token, creating a competitive market that benefits users</w:t>
      </w:r>
    </w:p>
    <w:p>
      <w:pPr>
        <w:pStyle w:val="ListParagraph"/>
        <w:numPr>
          <w:ilvl w:val="0"/>
          <w:numId w:val="2"/>
        </w:numPr>
        <w:spacing w:after="40" w:before="40"/>
      </w:pPr>
      <w:r>
        <w:rPr>
          <w:rFonts w:ascii="Arial" w:cs="Arial" w:eastAsia="Arial" w:hAnsi="Arial"/>
          <w:color w:val="1E293B"/>
          <w:sz w:val="21"/>
          <w:szCs w:val="21"/>
        </w:rPr>
        <w:t xml:space="preserve">Reputation scoring rewards consistent uptime and fast response times</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200"/>
        <w:gridCol w:w="9160"/>
      </w:tblGrid>
      <w:tr>
        <w:tc>
          <w:tcPr>
            <w:tcW w:type="dxa" w:w="200"/>
            <w:tcBorders>
              <w:top w:val="none" w:color="FFFFFF" w:sz="0"/>
              <w:left w:val="none" w:color="FFFFFF" w:sz="0"/>
              <w:bottom w:val="none" w:color="FFFFFF" w:sz="0"/>
              <w:right w:val="none" w:color="FFFFFF" w:sz="0"/>
            </w:tcBorders>
            <w:shd w:fill="F59E0B" w:val="clear"/>
          </w:tcPr>
          <w:p/>
        </w:tc>
        <w:tc>
          <w:tcPr>
            <w:tcW w:type="dxa" w:w="9160"/>
            <w:tcBorders>
              <w:top w:val="none" w:color="FFFFFF" w:sz="0"/>
              <w:left w:val="single" w:color="F59E0B" w:sz="12"/>
              <w:bottom w:val="none" w:color="FFFFFF" w:sz="0"/>
              <w:right w:val="none" w:color="FFFFFF" w:sz="0"/>
            </w:tcBorders>
            <w:shd w:fill="F8FAFC" w:val="clear"/>
            <w:tcMar>
              <w:top w:type="dxa" w:w="80"/>
              <w:left w:type="dxa" w:w="200"/>
              <w:bottom w:type="dxa" w:w="80"/>
              <w:right w:type="dxa" w:w="120"/>
            </w:tcMar>
          </w:tcPr>
          <w:p>
            <w:pPr>
              <w:spacing w:after="40" w:before="0"/>
            </w:pPr>
            <w:r>
              <w:rPr>
                <w:rFonts w:ascii="Arial" w:cs="Arial" w:eastAsia="Arial" w:hAnsi="Arial"/>
                <w:b/>
                <w:bCs/>
                <w:color w:val="F59E0B"/>
                <w:sz w:val="18"/>
                <w:szCs w:val="18"/>
              </w:rPr>
              <w:t xml:space="preserve">Network Effect</w:t>
            </w:r>
          </w:p>
          <w:p>
            <w:pPr>
              <w:spacing w:after="0" w:before="0"/>
            </w:pPr>
            <w:r>
              <w:rPr>
                <w:rFonts w:ascii="Arial" w:cs="Arial" w:eastAsia="Arial" w:hAnsi="Arial"/>
                <w:color w:val="334155"/>
                <w:sz w:val="20"/>
                <w:szCs w:val="20"/>
              </w:rPr>
              <w:t xml:space="preserve">As more providers join, users experience better availability, lower prices, and more model choice. As more users join, providers earn more. The incentive structure is self-reinforcing — growth benefits all participants.</w:t>
            </w:r>
          </w:p>
        </w:tc>
      </w:tr>
    </w:tbl>
    <w:p>
      <w:pPr>
        <w:spacing w:after="0" w:before="120"/>
      </w:pPr>
    </w:p>
    <w:p>
      <w:pPr>
        <w:pStyle w:val="Heading2"/>
        <w:spacing w:after="100" w:before="320"/>
      </w:pPr>
      <w:r>
        <w:rPr>
          <w:rFonts w:ascii="Arial" w:cs="Arial" w:eastAsia="Arial" w:hAnsi="Arial"/>
          <w:b/>
          <w:bCs/>
          <w:color w:val="0A1628"/>
          <w:sz w:val="26"/>
          <w:szCs w:val="26"/>
        </w:rPr>
        <w:t xml:space="preserve">4.3 User Incentives — Why Use DEcentAI?</w:t>
      </w:r>
    </w:p>
    <w:p>
      <w:pPr>
        <w:spacing w:after="80" w:before="60"/>
      </w:pPr>
      <w:r>
        <w:rPr>
          <w:rFonts w:ascii="Arial" w:cs="Arial" w:eastAsia="Arial" w:hAnsi="Arial"/>
          <w:color w:val="1E293B"/>
          <w:sz w:val="22"/>
          <w:szCs w:val="22"/>
        </w:rPr>
        <w:t xml:space="preserve">For users, DEcentAI offers four distinct advantages over subscription AI services:</w:t>
      </w:r>
    </w:p>
    <w:p>
      <w:pPr>
        <w:pStyle w:val="ListParagraph"/>
        <w:numPr>
          <w:ilvl w:val="0"/>
          <w:numId w:val="2"/>
        </w:numPr>
        <w:spacing w:after="40" w:before="40"/>
      </w:pPr>
      <w:r>
        <w:rPr>
          <w:rFonts w:ascii="Arial" w:cs="Arial" w:eastAsia="Arial" w:hAnsi="Arial"/>
          <w:color w:val="1E293B"/>
          <w:sz w:val="21"/>
          <w:szCs w:val="21"/>
        </w:rPr>
        <w:t xml:space="preserve">Cost: pay only for what you use — no monthly fee for occasional users</w:t>
      </w:r>
    </w:p>
    <w:p>
      <w:pPr>
        <w:pStyle w:val="ListParagraph"/>
        <w:numPr>
          <w:ilvl w:val="0"/>
          <w:numId w:val="2"/>
        </w:numPr>
        <w:spacing w:after="40" w:before="40"/>
      </w:pPr>
      <w:r>
        <w:rPr>
          <w:rFonts w:ascii="Arial" w:cs="Arial" w:eastAsia="Arial" w:hAnsi="Arial"/>
          <w:color w:val="1E293B"/>
          <w:sz w:val="21"/>
          <w:szCs w:val="21"/>
        </w:rPr>
        <w:t xml:space="preserve">Privacy: structural guarantee that your prompts never leave the host machine</w:t>
      </w:r>
    </w:p>
    <w:p>
      <w:pPr>
        <w:pStyle w:val="ListParagraph"/>
        <w:numPr>
          <w:ilvl w:val="0"/>
          <w:numId w:val="2"/>
        </w:numPr>
        <w:spacing w:after="40" w:before="40"/>
      </w:pPr>
      <w:r>
        <w:rPr>
          <w:rFonts w:ascii="Arial" w:cs="Arial" w:eastAsia="Arial" w:hAnsi="Arial"/>
          <w:color w:val="1E293B"/>
          <w:sz w:val="21"/>
          <w:szCs w:val="21"/>
        </w:rPr>
        <w:t xml:space="preserve">Choice: select from multiple providers, models, and price points</w:t>
      </w:r>
    </w:p>
    <w:p>
      <w:pPr>
        <w:pStyle w:val="ListParagraph"/>
        <w:numPr>
          <w:ilvl w:val="0"/>
          <w:numId w:val="2"/>
        </w:numPr>
        <w:spacing w:after="40" w:before="40"/>
      </w:pPr>
      <w:r>
        <w:rPr>
          <w:rFonts w:ascii="Arial" w:cs="Arial" w:eastAsia="Arial" w:hAnsi="Arial"/>
          <w:color w:val="1E293B"/>
          <w:sz w:val="21"/>
          <w:szCs w:val="21"/>
        </w:rPr>
        <w:t xml:space="preserve">Ownership: earn DECNT by referring others — a perpetual 1% stake in every prompt they send</w:t>
      </w:r>
    </w:p>
    <w:p>
      <w:pPr>
        <w:pStyle w:val="Heading2"/>
        <w:spacing w:after="100" w:before="320"/>
      </w:pPr>
      <w:r>
        <w:rPr>
          <w:rFonts w:ascii="Arial" w:cs="Arial" w:eastAsia="Arial" w:hAnsi="Arial"/>
          <w:b/>
          <w:bCs/>
          <w:color w:val="0A1628"/>
          <w:sz w:val="26"/>
          <w:szCs w:val="26"/>
        </w:rPr>
        <w:t xml:space="preserve">4.4 The Referral Flywheel</w:t>
      </w:r>
    </w:p>
    <w:p>
      <w:pPr>
        <w:spacing w:after="80" w:before="60"/>
      </w:pPr>
      <w:r>
        <w:rPr>
          <w:rFonts w:ascii="Arial" w:cs="Arial" w:eastAsia="Arial" w:hAnsi="Arial"/>
          <w:color w:val="1E293B"/>
          <w:sz w:val="22"/>
          <w:szCs w:val="22"/>
        </w:rPr>
        <w:t xml:space="preserve">The referral incentive model creates a powerful growth mechanism. Each user who registers through a referral link permanently links 1% of all their future prompt payments to their referrer. This is not a one-time reward — it is a perpetual stake.</w:t>
      </w:r>
    </w:p>
    <w:p>
      <w:pPr>
        <w:pStyle w:val="ListParagraph"/>
        <w:numPr>
          <w:ilvl w:val="0"/>
          <w:numId w:val="2"/>
        </w:numPr>
        <w:spacing w:after="40" w:before="40"/>
      </w:pPr>
      <w:r>
        <w:rPr>
          <w:rFonts w:ascii="Arial" w:cs="Arial" w:eastAsia="Arial" w:hAnsi="Arial"/>
          <w:color w:val="1E293B"/>
          <w:sz w:val="21"/>
          <w:szCs w:val="21"/>
        </w:rPr>
        <w:t xml:space="preserve">User A refers User B → earns 1% of User B's prompts forever</w:t>
      </w:r>
    </w:p>
    <w:p>
      <w:pPr>
        <w:pStyle w:val="ListParagraph"/>
        <w:numPr>
          <w:ilvl w:val="0"/>
          <w:numId w:val="2"/>
        </w:numPr>
        <w:spacing w:after="40" w:before="40"/>
      </w:pPr>
      <w:r>
        <w:rPr>
          <w:rFonts w:ascii="Arial" w:cs="Arial" w:eastAsia="Arial" w:hAnsi="Arial"/>
          <w:color w:val="1E293B"/>
          <w:sz w:val="21"/>
          <w:szCs w:val="21"/>
        </w:rPr>
        <w:t xml:space="preserve">User B refers User C → User B earns 1% of User C's prompts</w:t>
      </w:r>
    </w:p>
    <w:p>
      <w:pPr>
        <w:pStyle w:val="ListParagraph"/>
        <w:numPr>
          <w:ilvl w:val="0"/>
          <w:numId w:val="2"/>
        </w:numPr>
        <w:spacing w:after="40" w:before="40"/>
      </w:pPr>
      <w:r>
        <w:rPr>
          <w:rFonts w:ascii="Arial" w:cs="Arial" w:eastAsia="Arial" w:hAnsi="Arial"/>
          <w:color w:val="1E293B"/>
          <w:sz w:val="21"/>
          <w:szCs w:val="21"/>
        </w:rPr>
        <w:t xml:space="preserve">User A earns indirectly from the growth of the users below them</w:t>
      </w:r>
    </w:p>
    <w:p>
      <w:pPr>
        <w:spacing w:after="80" w:before="60"/>
      </w:pPr>
      <w:r>
        <w:rPr>
          <w:rFonts w:ascii="Arial" w:cs="Arial" w:eastAsia="Arial" w:hAnsi="Arial"/>
          <w:color w:val="1E293B"/>
          <w:sz w:val="22"/>
          <w:szCs w:val="22"/>
        </w:rPr>
        <w:t xml:space="preserve">This creates genuine incentive to bring quality users — users who actually engage with the platform — because passive income scales with their referred users' activity, not just with signup numbers.</w:t>
      </w:r>
    </w:p>
    <w:p>
      <w:r>
        <w:br/>
      </w:r>
    </w:p>
    <w:p>
      <w:pPr>
        <w:pStyle w:val="Heading1"/>
        <w:pBdr>
          <w:bottom w:val="single" w:color="00B4D8" w:sz="6" w:space="4"/>
        </w:pBdr>
        <w:spacing w:after="120" w:before="480"/>
      </w:pPr>
      <w:r>
        <w:rPr>
          <w:rFonts w:ascii="Arial" w:cs="Arial" w:eastAsia="Arial" w:hAnsi="Arial"/>
          <w:b/>
          <w:bCs/>
          <w:color w:val="0A1628"/>
          <w:sz w:val="34"/>
          <w:szCs w:val="34"/>
        </w:rPr>
        <w:t xml:space="preserve">5. Tokenomics</w:t>
      </w:r>
    </w:p>
    <w:p>
      <w:pPr>
        <w:pStyle w:val="Heading2"/>
        <w:spacing w:after="100" w:before="320"/>
      </w:pPr>
      <w:r>
        <w:rPr>
          <w:rFonts w:ascii="Arial" w:cs="Arial" w:eastAsia="Arial" w:hAnsi="Arial"/>
          <w:b/>
          <w:bCs/>
          <w:color w:val="0A1628"/>
          <w:sz w:val="26"/>
          <w:szCs w:val="26"/>
        </w:rPr>
        <w:t xml:space="preserve">5.1 DECNT Token Overview</w:t>
      </w:r>
    </w:p>
    <w:p>
      <w:pPr>
        <w:spacing w:after="80" w:before="60"/>
      </w:pPr>
      <w:r>
        <w:rPr>
          <w:rFonts w:ascii="Arial" w:cs="Arial" w:eastAsia="Arial" w:hAnsi="Arial"/>
          <w:color w:val="1E293B"/>
          <w:sz w:val="22"/>
          <w:szCs w:val="22"/>
        </w:rPr>
        <w:t xml:space="preserve">DECNT is a Solana SPL token. It is the sole medium of exchange on the DEcentAI marketplace and the primary store of value for network participants.</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50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r>
              <w:rPr>
                <w:rFonts w:ascii="Arial" w:cs="Arial" w:eastAsia="Arial" w:hAnsi="Arial"/>
                <w:b/>
                <w:bCs/>
                <w:color w:val="0A1628"/>
                <w:sz w:val="20"/>
                <w:szCs w:val="20"/>
              </w:rPr>
              <w:t xml:space="preserve">Token name</w:t>
            </w:r>
          </w:p>
        </w:tc>
        <w:tc>
          <w:tcPr>
            <w:tcW w:type="dxa" w:w="586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r>
              <w:rPr>
                <w:rFonts w:ascii="Arial" w:cs="Arial" w:eastAsia="Arial" w:hAnsi="Arial"/>
                <w:color w:val="1E293B"/>
                <w:sz w:val="20"/>
                <w:szCs w:val="20"/>
              </w:rPr>
              <w:t xml:space="preserve">DEcentAI</w:t>
            </w:r>
          </w:p>
        </w:tc>
      </w:tr>
      <w:tr>
        <w:tc>
          <w:tcPr>
            <w:tcW w:type="dxa" w:w="35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bCs/>
                <w:color w:val="0A1628"/>
                <w:sz w:val="20"/>
                <w:szCs w:val="20"/>
              </w:rPr>
              <w:t xml:space="preserve">Symbol</w:t>
            </w:r>
          </w:p>
        </w:tc>
        <w:tc>
          <w:tcPr>
            <w:tcW w:type="dxa" w:w="58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color w:val="1E293B"/>
                <w:sz w:val="20"/>
                <w:szCs w:val="20"/>
              </w:rPr>
              <w:t xml:space="preserve">DECNT</w:t>
            </w:r>
          </w:p>
        </w:tc>
      </w:tr>
      <w:tr>
        <w:tc>
          <w:tcPr>
            <w:tcW w:type="dxa" w:w="350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r>
              <w:rPr>
                <w:rFonts w:ascii="Arial" w:cs="Arial" w:eastAsia="Arial" w:hAnsi="Arial"/>
                <w:b/>
                <w:bCs/>
                <w:color w:val="0A1628"/>
                <w:sz w:val="20"/>
                <w:szCs w:val="20"/>
              </w:rPr>
              <w:t xml:space="preserve">Blockchain</w:t>
            </w:r>
          </w:p>
        </w:tc>
        <w:tc>
          <w:tcPr>
            <w:tcW w:type="dxa" w:w="586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r>
              <w:rPr>
                <w:rFonts w:ascii="Arial" w:cs="Arial" w:eastAsia="Arial" w:hAnsi="Arial"/>
                <w:color w:val="1E293B"/>
                <w:sz w:val="20"/>
                <w:szCs w:val="20"/>
              </w:rPr>
              <w:t xml:space="preserve">Solana</w:t>
            </w:r>
          </w:p>
        </w:tc>
      </w:tr>
      <w:tr>
        <w:tc>
          <w:tcPr>
            <w:tcW w:type="dxa" w:w="35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bCs/>
                <w:color w:val="0A1628"/>
                <w:sz w:val="20"/>
                <w:szCs w:val="20"/>
              </w:rPr>
              <w:t xml:space="preserve">Token program</w:t>
            </w:r>
          </w:p>
        </w:tc>
        <w:tc>
          <w:tcPr>
            <w:tcW w:type="dxa" w:w="58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color w:val="1E293B"/>
                <w:sz w:val="20"/>
                <w:szCs w:val="20"/>
              </w:rPr>
              <w:t xml:space="preserve">SPL Token (TokenkegQfeZyiNwAJbNbGKPFXCWuBvf9Ss623VQ5DA)</w:t>
            </w:r>
          </w:p>
        </w:tc>
      </w:tr>
      <w:tr>
        <w:tc>
          <w:tcPr>
            <w:tcW w:type="dxa" w:w="350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r>
              <w:rPr>
                <w:rFonts w:ascii="Arial" w:cs="Arial" w:eastAsia="Arial" w:hAnsi="Arial"/>
                <w:b/>
                <w:bCs/>
                <w:color w:val="0A1628"/>
                <w:sz w:val="20"/>
                <w:szCs w:val="20"/>
              </w:rPr>
              <w:t xml:space="preserve">Contract address</w:t>
            </w:r>
          </w:p>
        </w:tc>
        <w:tc>
          <w:tcPr>
            <w:tcW w:type="dxa" w:w="586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r>
              <w:rPr>
                <w:rFonts w:ascii="Arial" w:cs="Arial" w:eastAsia="Arial" w:hAnsi="Arial"/>
                <w:color w:val="1E293B"/>
                <w:sz w:val="20"/>
                <w:szCs w:val="20"/>
              </w:rPr>
              <w:t xml:space="preserve">A3GTCErwHYaxjVx2M9N76c85DEjNCVNar6U4bPk7qXvX</w:t>
            </w:r>
          </w:p>
        </w:tc>
      </w:tr>
      <w:tr>
        <w:tc>
          <w:tcPr>
            <w:tcW w:type="dxa" w:w="35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bCs/>
                <w:color w:val="0A1628"/>
                <w:sz w:val="20"/>
                <w:szCs w:val="20"/>
              </w:rPr>
              <w:t xml:space="preserve">Total supply</w:t>
            </w:r>
          </w:p>
        </w:tc>
        <w:tc>
          <w:tcPr>
            <w:tcW w:type="dxa" w:w="58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color w:val="1E293B"/>
                <w:sz w:val="20"/>
                <w:szCs w:val="20"/>
              </w:rPr>
              <w:t xml:space="preserve">1,000,000,000 DECNT</w:t>
            </w:r>
          </w:p>
        </w:tc>
      </w:tr>
      <w:tr>
        <w:tc>
          <w:tcPr>
            <w:tcW w:type="dxa" w:w="350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r>
              <w:rPr>
                <w:rFonts w:ascii="Arial" w:cs="Arial" w:eastAsia="Arial" w:hAnsi="Arial"/>
                <w:b/>
                <w:bCs/>
                <w:color w:val="0A1628"/>
                <w:sz w:val="20"/>
                <w:szCs w:val="20"/>
              </w:rPr>
              <w:t xml:space="preserve">Mint authority</w:t>
            </w:r>
          </w:p>
        </w:tc>
        <w:tc>
          <w:tcPr>
            <w:tcW w:type="dxa" w:w="586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r>
              <w:rPr>
                <w:rFonts w:ascii="Arial" w:cs="Arial" w:eastAsia="Arial" w:hAnsi="Arial"/>
                <w:color w:val="1E293B"/>
                <w:sz w:val="20"/>
                <w:szCs w:val="20"/>
              </w:rPr>
              <w:t xml:space="preserve">Permanently disabled — supply is fixed</w:t>
            </w:r>
          </w:p>
        </w:tc>
      </w:tr>
      <w:tr>
        <w:tc>
          <w:tcPr>
            <w:tcW w:type="dxa" w:w="35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bCs/>
                <w:color w:val="0A1628"/>
                <w:sz w:val="20"/>
                <w:szCs w:val="20"/>
              </w:rPr>
              <w:t xml:space="preserve">Freeze authority</w:t>
            </w:r>
          </w:p>
        </w:tc>
        <w:tc>
          <w:tcPr>
            <w:tcW w:type="dxa" w:w="58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color w:val="1E293B"/>
                <w:sz w:val="20"/>
                <w:szCs w:val="20"/>
              </w:rPr>
              <w:t xml:space="preserve">Not set</w:t>
            </w:r>
          </w:p>
        </w:tc>
      </w:tr>
      <w:tr>
        <w:tc>
          <w:tcPr>
            <w:tcW w:type="dxa" w:w="350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r>
              <w:rPr>
                <w:rFonts w:ascii="Arial" w:cs="Arial" w:eastAsia="Arial" w:hAnsi="Arial"/>
                <w:b/>
                <w:bCs/>
                <w:color w:val="0A1628"/>
                <w:sz w:val="20"/>
                <w:szCs w:val="20"/>
              </w:rPr>
              <w:t xml:space="preserve">Decimals</w:t>
            </w:r>
          </w:p>
        </w:tc>
        <w:tc>
          <w:tcPr>
            <w:tcW w:type="dxa" w:w="586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r>
              <w:rPr>
                <w:rFonts w:ascii="Arial" w:cs="Arial" w:eastAsia="Arial" w:hAnsi="Arial"/>
                <w:color w:val="1E293B"/>
                <w:sz w:val="20"/>
                <w:szCs w:val="20"/>
              </w:rPr>
              <w:t xml:space="preserve">9</w:t>
            </w:r>
          </w:p>
        </w:tc>
      </w:tr>
      <w:tr>
        <w:tc>
          <w:tcPr>
            <w:tcW w:type="dxa" w:w="350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b/>
                <w:bCs/>
                <w:color w:val="0A1628"/>
                <w:sz w:val="20"/>
                <w:szCs w:val="20"/>
              </w:rPr>
              <w:t xml:space="preserve">Pre-ICO price</w:t>
            </w:r>
          </w:p>
        </w:tc>
        <w:tc>
          <w:tcPr>
            <w:tcW w:type="dxa" w:w="5860"/>
            <w:tcBorders>
              <w:top w:val="single" w:color="CBD5E1" w:sz="1"/>
              <w:left w:val="single" w:color="CBD5E1" w:sz="1"/>
              <w:bottom w:val="single" w:color="CBD5E1" w:sz="1"/>
              <w:right w:val="single" w:color="CBD5E1" w:sz="1"/>
            </w:tcBorders>
            <w:shd w:fill="FFFFFF" w:val="clear"/>
            <w:tcMar>
              <w:top w:type="dxa" w:w="80"/>
              <w:left w:type="dxa" w:w="120"/>
              <w:bottom w:type="dxa" w:w="80"/>
              <w:right w:type="dxa" w:w="120"/>
            </w:tcMar>
          </w:tcPr>
          <w:p>
            <w:r>
              <w:rPr>
                <w:rFonts w:ascii="Arial" w:cs="Arial" w:eastAsia="Arial" w:hAnsi="Arial"/>
                <w:color w:val="1E293B"/>
                <w:sz w:val="20"/>
                <w:szCs w:val="20"/>
              </w:rPr>
              <w:t xml:space="preserve">1 SOL = 1,000 DECNT</w:t>
            </w:r>
          </w:p>
        </w:tc>
      </w:tr>
      <w:tr>
        <w:tc>
          <w:tcPr>
            <w:tcW w:type="dxa" w:w="350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r>
              <w:rPr>
                <w:rFonts w:ascii="Arial" w:cs="Arial" w:eastAsia="Arial" w:hAnsi="Arial"/>
                <w:b/>
                <w:bCs/>
                <w:color w:val="0A1628"/>
                <w:sz w:val="20"/>
                <w:szCs w:val="20"/>
              </w:rPr>
              <w:t xml:space="preserve">Early bird bonus</w:t>
            </w:r>
          </w:p>
        </w:tc>
        <w:tc>
          <w:tcPr>
            <w:tcW w:type="dxa" w:w="586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120"/>
            </w:tcMar>
          </w:tcPr>
          <w:p>
            <w:r>
              <w:rPr>
                <w:rFonts w:ascii="Arial" w:cs="Arial" w:eastAsia="Arial" w:hAnsi="Arial"/>
                <w:color w:val="1E293B"/>
                <w:sz w:val="20"/>
                <w:szCs w:val="20"/>
              </w:rPr>
              <w:t xml:space="preserve">+20% — 1 SOL = 1,200 DECNT during Pre-ICO</w:t>
            </w:r>
          </w:p>
        </w:tc>
      </w:tr>
    </w:tbl>
    <w:p>
      <w:pPr>
        <w:spacing w:after="0" w:before="120"/>
      </w:pPr>
    </w:p>
    <w:p>
      <w:pPr>
        <w:pStyle w:val="Heading2"/>
        <w:spacing w:after="100" w:before="320"/>
      </w:pPr>
      <w:r>
        <w:rPr>
          <w:rFonts w:ascii="Arial" w:cs="Arial" w:eastAsia="Arial" w:hAnsi="Arial"/>
          <w:b/>
          <w:bCs/>
          <w:color w:val="0A1628"/>
          <w:sz w:val="26"/>
          <w:szCs w:val="26"/>
        </w:rPr>
        <w:t xml:space="preserve">5.2 Token Distribution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1800"/>
        <w:gridCol w:w="4060"/>
      </w:tblGrid>
      <w:tr>
        <w:tc>
          <w:tcPr>
            <w:tcW w:type="dxa" w:w="3500"/>
            <w:tcBorders>
              <w:top w:val="single" w:color="CBD5E1" w:sz="1"/>
              <w:left w:val="single" w:color="CBD5E1" w:sz="1"/>
              <w:bottom w:val="single" w:color="CBD5E1" w:sz="1"/>
              <w:right w:val="single" w:color="CBD5E1" w:sz="1"/>
            </w:tcBorders>
            <w:shd w:fill="0A1628"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1800"/>
            <w:tcBorders>
              <w:top w:val="single" w:color="CBD5E1" w:sz="1"/>
              <w:left w:val="single" w:color="CBD5E1" w:sz="1"/>
              <w:bottom w:val="single" w:color="CBD5E1" w:sz="1"/>
              <w:right w:val="single" w:color="CBD5E1" w:sz="1"/>
            </w:tcBorders>
            <w:shd w:fill="0A1628" w:val="clear"/>
            <w:tcMar>
              <w:top w:type="dxa" w:w="80"/>
              <w:left w:type="dxa" w:w="120"/>
              <w:bottom w:type="dxa" w:w="80"/>
              <w:right w:type="dxa" w:w="120"/>
            </w:tcMar>
          </w:tcPr>
          <w:p>
            <w:r>
              <w:rPr>
                <w:rFonts w:ascii="Arial" w:cs="Arial" w:eastAsia="Arial" w:hAnsi="Arial"/>
                <w:b/>
                <w:bCs/>
                <w:color w:val="FFFFFF"/>
                <w:sz w:val="20"/>
                <w:szCs w:val="20"/>
              </w:rPr>
              <w:t xml:space="preserve">Allocation</w:t>
            </w:r>
          </w:p>
        </w:tc>
        <w:tc>
          <w:tcPr>
            <w:tcW w:type="dxa" w:w="4060"/>
            <w:tcBorders>
              <w:top w:val="single" w:color="CBD5E1" w:sz="1"/>
              <w:left w:val="single" w:color="CBD5E1" w:sz="1"/>
              <w:bottom w:val="single" w:color="CBD5E1" w:sz="1"/>
              <w:right w:val="single" w:color="CBD5E1" w:sz="1"/>
            </w:tcBorders>
            <w:shd w:fill="0A1628"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350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120"/>
            </w:tcMar>
          </w:tcPr>
          <w:p>
            <w:r>
              <w:rPr>
                <w:rFonts w:ascii="Arial" w:cs="Arial" w:eastAsia="Arial" w:hAnsi="Arial"/>
                <w:b w:val="false"/>
                <w:bCs w:val="false"/>
                <w:color w:val="0A1628"/>
                <w:sz w:val="19"/>
                <w:szCs w:val="19"/>
              </w:rPr>
              <w:t xml:space="preserve">ICO (Main Sale)</w:t>
            </w:r>
          </w:p>
        </w:tc>
        <w:tc>
          <w:tcPr>
            <w:tcW w:type="dxa" w:w="180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120"/>
            </w:tcMar>
          </w:tcPr>
          <w:p>
            <w:r>
              <w:rPr>
                <w:rFonts w:ascii="Arial" w:cs="Arial" w:eastAsia="Arial" w:hAnsi="Arial"/>
                <w:b/>
                <w:bCs/>
                <w:color w:val="00B4D8"/>
                <w:sz w:val="19"/>
                <w:szCs w:val="19"/>
              </w:rPr>
              <w:t xml:space="preserve">800M — 80%</w:t>
            </w:r>
          </w:p>
        </w:tc>
        <w:tc>
          <w:tcPr>
            <w:tcW w:type="dxa" w:w="406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120"/>
            </w:tcMar>
          </w:tcPr>
          <w:p>
            <w:r>
              <w:rPr>
                <w:rFonts w:ascii="Arial" w:cs="Arial" w:eastAsia="Arial" w:hAnsi="Arial"/>
                <w:b w:val="false"/>
                <w:bCs w:val="false"/>
                <w:color w:val="334155"/>
                <w:sz w:val="19"/>
                <w:szCs w:val="19"/>
              </w:rPr>
              <w:t xml:space="preserve">Primary token distribution to the public</w:t>
            </w:r>
          </w:p>
        </w:tc>
      </w:tr>
      <w:tr>
        <w:tc>
          <w:tcPr>
            <w:tcW w:type="dxa" w:w="350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120"/>
            </w:tcMar>
          </w:tcPr>
          <w:p>
            <w:r>
              <w:rPr>
                <w:rFonts w:ascii="Arial" w:cs="Arial" w:eastAsia="Arial" w:hAnsi="Arial"/>
                <w:b w:val="false"/>
                <w:bCs w:val="false"/>
                <w:color w:val="0A1628"/>
                <w:sz w:val="19"/>
                <w:szCs w:val="19"/>
              </w:rPr>
              <w:t xml:space="preserve">Pre-ICO</w:t>
            </w:r>
          </w:p>
        </w:tc>
        <w:tc>
          <w:tcPr>
            <w:tcW w:type="dxa" w:w="180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120"/>
            </w:tcMar>
          </w:tcPr>
          <w:p>
            <w:r>
              <w:rPr>
                <w:rFonts w:ascii="Arial" w:cs="Arial" w:eastAsia="Arial" w:hAnsi="Arial"/>
                <w:b/>
                <w:bCs/>
                <w:color w:val="00B4D8"/>
                <w:sz w:val="19"/>
                <w:szCs w:val="19"/>
              </w:rPr>
              <w:t xml:space="preserve">100M — 10%</w:t>
            </w:r>
          </w:p>
        </w:tc>
        <w:tc>
          <w:tcPr>
            <w:tcW w:type="dxa" w:w="406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120"/>
            </w:tcMar>
          </w:tcPr>
          <w:p>
            <w:r>
              <w:rPr>
                <w:rFonts w:ascii="Arial" w:cs="Arial" w:eastAsia="Arial" w:hAnsi="Arial"/>
                <w:b w:val="false"/>
                <w:bCs w:val="false"/>
                <w:color w:val="334155"/>
                <w:sz w:val="19"/>
                <w:szCs w:val="19"/>
              </w:rPr>
              <w:t xml:space="preserve">Early participants at 1,000 DECNT/SOL</w:t>
            </w:r>
          </w:p>
        </w:tc>
      </w:tr>
      <w:tr>
        <w:tc>
          <w:tcPr>
            <w:tcW w:type="dxa" w:w="350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120"/>
            </w:tcMar>
          </w:tcPr>
          <w:p>
            <w:r>
              <w:rPr>
                <w:rFonts w:ascii="Arial" w:cs="Arial" w:eastAsia="Arial" w:hAnsi="Arial"/>
                <w:b w:val="false"/>
                <w:bCs w:val="false"/>
                <w:color w:val="0A1628"/>
                <w:sz w:val="19"/>
                <w:szCs w:val="19"/>
              </w:rPr>
              <w:t xml:space="preserve">Team</w:t>
            </w:r>
          </w:p>
        </w:tc>
        <w:tc>
          <w:tcPr>
            <w:tcW w:type="dxa" w:w="180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120"/>
            </w:tcMar>
          </w:tcPr>
          <w:p>
            <w:r>
              <w:rPr>
                <w:rFonts w:ascii="Arial" w:cs="Arial" w:eastAsia="Arial" w:hAnsi="Arial"/>
                <w:b/>
                <w:bCs/>
                <w:color w:val="00B4D8"/>
                <w:sz w:val="19"/>
                <w:szCs w:val="19"/>
              </w:rPr>
              <w:t xml:space="preserve">50M — 5%</w:t>
            </w:r>
          </w:p>
        </w:tc>
        <w:tc>
          <w:tcPr>
            <w:tcW w:type="dxa" w:w="406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120"/>
            </w:tcMar>
          </w:tcPr>
          <w:p>
            <w:r>
              <w:rPr>
                <w:rFonts w:ascii="Arial" w:cs="Arial" w:eastAsia="Arial" w:hAnsi="Arial"/>
                <w:b w:val="false"/>
                <w:bCs w:val="false"/>
                <w:color w:val="334155"/>
                <w:sz w:val="19"/>
                <w:szCs w:val="19"/>
              </w:rPr>
              <w:t xml:space="preserve">Founders and core contributors — 2yr vesting</w:t>
            </w:r>
          </w:p>
        </w:tc>
      </w:tr>
      <w:tr>
        <w:tc>
          <w:tcPr>
            <w:tcW w:type="dxa" w:w="350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120"/>
            </w:tcMar>
          </w:tcPr>
          <w:p>
            <w:r>
              <w:rPr>
                <w:rFonts w:ascii="Arial" w:cs="Arial" w:eastAsia="Arial" w:hAnsi="Arial"/>
                <w:b w:val="false"/>
                <w:bCs w:val="false"/>
                <w:color w:val="0A1628"/>
                <w:sz w:val="19"/>
                <w:szCs w:val="19"/>
              </w:rPr>
              <w:t xml:space="preserve">Ecosystem</w:t>
            </w:r>
          </w:p>
        </w:tc>
        <w:tc>
          <w:tcPr>
            <w:tcW w:type="dxa" w:w="180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120"/>
            </w:tcMar>
          </w:tcPr>
          <w:p>
            <w:r>
              <w:rPr>
                <w:rFonts w:ascii="Arial" w:cs="Arial" w:eastAsia="Arial" w:hAnsi="Arial"/>
                <w:b/>
                <w:bCs/>
                <w:color w:val="00B4D8"/>
                <w:sz w:val="19"/>
                <w:szCs w:val="19"/>
              </w:rPr>
              <w:t xml:space="preserve">29M — 2.9%</w:t>
            </w:r>
          </w:p>
        </w:tc>
        <w:tc>
          <w:tcPr>
            <w:tcW w:type="dxa" w:w="406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120"/>
            </w:tcMar>
          </w:tcPr>
          <w:p>
            <w:r>
              <w:rPr>
                <w:rFonts w:ascii="Arial" w:cs="Arial" w:eastAsia="Arial" w:hAnsi="Arial"/>
                <w:b w:val="false"/>
                <w:bCs w:val="false"/>
                <w:color w:val="334155"/>
                <w:sz w:val="19"/>
                <w:szCs w:val="19"/>
              </w:rPr>
              <w:t xml:space="preserve">Partnerships, grants, developer incentives</w:t>
            </w:r>
          </w:p>
        </w:tc>
      </w:tr>
      <w:tr>
        <w:tc>
          <w:tcPr>
            <w:tcW w:type="dxa" w:w="350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120"/>
            </w:tcMar>
          </w:tcPr>
          <w:p>
            <w:r>
              <w:rPr>
                <w:rFonts w:ascii="Arial" w:cs="Arial" w:eastAsia="Arial" w:hAnsi="Arial"/>
                <w:b w:val="false"/>
                <w:bCs w:val="false"/>
                <w:color w:val="0A1628"/>
                <w:sz w:val="19"/>
                <w:szCs w:val="19"/>
              </w:rPr>
              <w:t xml:space="preserve">Reserve</w:t>
            </w:r>
          </w:p>
        </w:tc>
        <w:tc>
          <w:tcPr>
            <w:tcW w:type="dxa" w:w="180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120"/>
            </w:tcMar>
          </w:tcPr>
          <w:p>
            <w:r>
              <w:rPr>
                <w:rFonts w:ascii="Arial" w:cs="Arial" w:eastAsia="Arial" w:hAnsi="Arial"/>
                <w:b/>
                <w:bCs/>
                <w:color w:val="00B4D8"/>
                <w:sz w:val="19"/>
                <w:szCs w:val="19"/>
              </w:rPr>
              <w:t xml:space="preserve">20M — 2%</w:t>
            </w:r>
          </w:p>
        </w:tc>
        <w:tc>
          <w:tcPr>
            <w:tcW w:type="dxa" w:w="4060"/>
            <w:tcBorders>
              <w:top w:val="single" w:color="CBD5E1" w:sz="1"/>
              <w:left w:val="single" w:color="CBD5E1" w:sz="1"/>
              <w:bottom w:val="single" w:color="CBD5E1" w:sz="1"/>
              <w:right w:val="single" w:color="CBD5E1" w:sz="1"/>
            </w:tcBorders>
            <w:shd w:fill="F8FAFC" w:val="clear"/>
            <w:tcMar>
              <w:top w:type="dxa" w:w="60"/>
              <w:left w:type="dxa" w:w="120"/>
              <w:bottom w:type="dxa" w:w="60"/>
              <w:right w:type="dxa" w:w="120"/>
            </w:tcMar>
          </w:tcPr>
          <w:p>
            <w:r>
              <w:rPr>
                <w:rFonts w:ascii="Arial" w:cs="Arial" w:eastAsia="Arial" w:hAnsi="Arial"/>
                <w:b w:val="false"/>
                <w:bCs w:val="false"/>
                <w:color w:val="334155"/>
                <w:sz w:val="19"/>
                <w:szCs w:val="19"/>
              </w:rPr>
              <w:t xml:space="preserve">Strategic reserve for future development</w:t>
            </w:r>
          </w:p>
        </w:tc>
      </w:tr>
      <w:tr>
        <w:tc>
          <w:tcPr>
            <w:tcW w:type="dxa" w:w="350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120"/>
            </w:tcMar>
          </w:tcPr>
          <w:p>
            <w:r>
              <w:rPr>
                <w:rFonts w:ascii="Arial" w:cs="Arial" w:eastAsia="Arial" w:hAnsi="Arial"/>
                <w:b w:val="false"/>
                <w:bCs w:val="false"/>
                <w:color w:val="0A1628"/>
                <w:sz w:val="19"/>
                <w:szCs w:val="19"/>
              </w:rPr>
              <w:t xml:space="preserve">Airdrop</w:t>
            </w:r>
          </w:p>
        </w:tc>
        <w:tc>
          <w:tcPr>
            <w:tcW w:type="dxa" w:w="180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120"/>
            </w:tcMar>
          </w:tcPr>
          <w:p>
            <w:r>
              <w:rPr>
                <w:rFonts w:ascii="Arial" w:cs="Arial" w:eastAsia="Arial" w:hAnsi="Arial"/>
                <w:b/>
                <w:bCs/>
                <w:color w:val="00B4D8"/>
                <w:sz w:val="19"/>
                <w:szCs w:val="19"/>
              </w:rPr>
              <w:t xml:space="preserve">1M — 0.1%</w:t>
            </w:r>
          </w:p>
        </w:tc>
        <w:tc>
          <w:tcPr>
            <w:tcW w:type="dxa" w:w="4060"/>
            <w:tcBorders>
              <w:top w:val="single" w:color="CBD5E1" w:sz="1"/>
              <w:left w:val="single" w:color="CBD5E1" w:sz="1"/>
              <w:bottom w:val="single" w:color="CBD5E1" w:sz="1"/>
              <w:right w:val="single" w:color="CBD5E1" w:sz="1"/>
            </w:tcBorders>
            <w:shd w:fill="FFFFFF" w:val="clear"/>
            <w:tcMar>
              <w:top w:type="dxa" w:w="60"/>
              <w:left w:type="dxa" w:w="120"/>
              <w:bottom w:type="dxa" w:w="60"/>
              <w:right w:type="dxa" w:w="120"/>
            </w:tcMar>
          </w:tcPr>
          <w:p>
            <w:r>
              <w:rPr>
                <w:rFonts w:ascii="Arial" w:cs="Arial" w:eastAsia="Arial" w:hAnsi="Arial"/>
                <w:b w:val="false"/>
                <w:bCs w:val="false"/>
                <w:color w:val="334155"/>
                <w:sz w:val="19"/>
                <w:szCs w:val="19"/>
              </w:rPr>
              <w:t xml:space="preserve">Community tasks and early adopter rewards</w:t>
            </w:r>
          </w:p>
        </w:tc>
      </w:tr>
    </w:tbl>
    <w:p>
      <w:pPr>
        <w:spacing w:after="0" w:before="120"/>
      </w:pPr>
    </w:p>
    <w:p>
      <w:pPr>
        <w:pStyle w:val="Heading2"/>
        <w:spacing w:after="100" w:before="320"/>
      </w:pPr>
      <w:r>
        <w:rPr>
          <w:rFonts w:ascii="Arial" w:cs="Arial" w:eastAsia="Arial" w:hAnsi="Arial"/>
          <w:b/>
          <w:bCs/>
          <w:color w:val="0A1628"/>
          <w:sz w:val="26"/>
          <w:szCs w:val="26"/>
        </w:rPr>
        <w:t xml:space="preserve">5.3 Why Solana</w:t>
      </w:r>
    </w:p>
    <w:p>
      <w:pPr>
        <w:spacing w:after="80" w:before="60"/>
      </w:pPr>
      <w:r>
        <w:rPr>
          <w:rFonts w:ascii="Arial" w:cs="Arial" w:eastAsia="Arial" w:hAnsi="Arial"/>
          <w:color w:val="1E293B"/>
          <w:sz w:val="22"/>
          <w:szCs w:val="22"/>
        </w:rPr>
        <w:t xml:space="preserve">The choice of Solana as the settlement layer is deliberate and technically motivated:</w:t>
      </w:r>
    </w:p>
    <w:p>
      <w:pPr>
        <w:pStyle w:val="ListParagraph"/>
        <w:numPr>
          <w:ilvl w:val="0"/>
          <w:numId w:val="2"/>
        </w:numPr>
        <w:spacing w:after="40" w:before="40"/>
      </w:pPr>
      <w:r>
        <w:rPr>
          <w:rFonts w:ascii="Arial" w:cs="Arial" w:eastAsia="Arial" w:hAnsi="Arial"/>
          <w:color w:val="1E293B"/>
          <w:sz w:val="21"/>
          <w:szCs w:val="21"/>
        </w:rPr>
        <w:t xml:space="preserve">Transaction finality in 400 milliseconds — fast enough for real-time prompt payments</w:t>
      </w:r>
    </w:p>
    <w:p>
      <w:pPr>
        <w:pStyle w:val="ListParagraph"/>
        <w:numPr>
          <w:ilvl w:val="0"/>
          <w:numId w:val="2"/>
        </w:numPr>
        <w:spacing w:after="40" w:before="40"/>
      </w:pPr>
      <w:r>
        <w:rPr>
          <w:rFonts w:ascii="Arial" w:cs="Arial" w:eastAsia="Arial" w:hAnsi="Arial"/>
          <w:color w:val="1E293B"/>
          <w:sz w:val="21"/>
          <w:szCs w:val="21"/>
        </w:rPr>
        <w:t xml:space="preserve">Transaction fees of fractions of a cent — economically viable for micro-payments per AI token</w:t>
      </w:r>
    </w:p>
    <w:p>
      <w:pPr>
        <w:pStyle w:val="ListParagraph"/>
        <w:numPr>
          <w:ilvl w:val="0"/>
          <w:numId w:val="2"/>
        </w:numPr>
        <w:spacing w:after="40" w:before="40"/>
      </w:pPr>
      <w:r>
        <w:rPr>
          <w:rFonts w:ascii="Arial" w:cs="Arial" w:eastAsia="Arial" w:hAnsi="Arial"/>
          <w:color w:val="1E293B"/>
          <w:sz w:val="21"/>
          <w:szCs w:val="21"/>
        </w:rPr>
        <w:t xml:space="preserve">Proven ecosystem — Phantom wallet, Jupiter DEX, Raydium liquidity pools</w:t>
      </w:r>
    </w:p>
    <w:p>
      <w:pPr>
        <w:pStyle w:val="ListParagraph"/>
        <w:numPr>
          <w:ilvl w:val="0"/>
          <w:numId w:val="2"/>
        </w:numPr>
        <w:spacing w:after="40" w:before="40"/>
      </w:pPr>
      <w:r>
        <w:rPr>
          <w:rFonts w:ascii="Arial" w:cs="Arial" w:eastAsia="Arial" w:hAnsi="Arial"/>
          <w:color w:val="1E293B"/>
          <w:sz w:val="21"/>
          <w:szCs w:val="21"/>
        </w:rPr>
        <w:t xml:space="preserve">SPL token standard — interoperable with all Solana DeFi infrastructure</w:t>
      </w:r>
    </w:p>
    <w:p>
      <w:pPr>
        <w:pStyle w:val="ListParagraph"/>
        <w:numPr>
          <w:ilvl w:val="0"/>
          <w:numId w:val="2"/>
        </w:numPr>
        <w:spacing w:after="40" w:before="40"/>
      </w:pPr>
      <w:r>
        <w:rPr>
          <w:rFonts w:ascii="Arial" w:cs="Arial" w:eastAsia="Arial" w:hAnsi="Arial"/>
          <w:color w:val="1E293B"/>
          <w:sz w:val="21"/>
          <w:szCs w:val="21"/>
        </w:rPr>
        <w:t xml:space="preserve">No EVM congestion — predictable fees regardless of network activity</w:t>
      </w:r>
    </w:p>
    <w:p>
      <w:r>
        <w:br/>
      </w:r>
    </w:p>
    <w:p>
      <w:pPr>
        <w:pStyle w:val="Heading1"/>
        <w:pBdr>
          <w:bottom w:val="single" w:color="00B4D8" w:sz="6" w:space="4"/>
        </w:pBdr>
        <w:spacing w:after="120" w:before="480"/>
      </w:pPr>
      <w:r>
        <w:rPr>
          <w:rFonts w:ascii="Arial" w:cs="Arial" w:eastAsia="Arial" w:hAnsi="Arial"/>
          <w:b/>
          <w:bCs/>
          <w:color w:val="0A1628"/>
          <w:sz w:val="34"/>
          <w:szCs w:val="34"/>
        </w:rPr>
        <w:t xml:space="preserve">6. Roadmap</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BD5E1" w:sz="1"/>
              <w:left w:val="single" w:color="10B981" w:sz="12"/>
              <w:bottom w:val="single" w:color="CBD5E1" w:sz="1"/>
              <w:right w:val="single" w:color="CBD5E1" w:sz="1"/>
            </w:tcBorders>
            <w:shd w:fill="F8FAFC" w:val="clear"/>
            <w:tcMar>
              <w:top w:type="dxa" w:w="120"/>
              <w:left w:type="dxa" w:w="120"/>
              <w:bottom w:type="dxa" w:w="120"/>
              <w:right w:type="dxa" w:w="120"/>
            </w:tcMar>
            <w:vAlign w:val="center"/>
          </w:tcPr>
          <w:p>
            <w:pPr>
              <w:jc w:val="center"/>
            </w:pPr>
            <w:r>
              <w:rPr>
                <w:rFonts w:ascii="Arial" w:cs="Arial" w:eastAsia="Arial" w:hAnsi="Arial"/>
                <w:b/>
                <w:bCs/>
                <w:color w:val="10B981"/>
                <w:sz w:val="19"/>
                <w:szCs w:val="19"/>
              </w:rPr>
              <w:t xml:space="preserve">Q1 2026
Completed ✓</w:t>
            </w:r>
          </w:p>
        </w:tc>
        <w:tc>
          <w:tcPr>
            <w:tcW w:type="dxa" w:w="7560"/>
            <w:tcBorders>
              <w:top w:val="single" w:color="CBD5E1" w:sz="1"/>
              <w:left w:val="single" w:color="CBD5E1" w:sz="1"/>
              <w:bottom w:val="single" w:color="CBD5E1" w:sz="1"/>
              <w:right w:val="single" w:color="CBD5E1" w:sz="1"/>
            </w:tcBorders>
            <w:shd w:fill="F8FAFC" w:val="clear"/>
            <w:tcMar>
              <w:top w:type="dxa" w:w="100"/>
              <w:left w:type="dxa" w:w="140"/>
              <w:bottom w:type="dxa" w:w="100"/>
              <w:right w:type="dxa" w:w="120"/>
            </w:tcMar>
          </w:tcPr>
          <w:p>
            <w:pPr>
              <w:pStyle w:val="ListParagraph"/>
              <w:numPr>
                <w:ilvl w:val="0"/>
                <w:numId w:val="2"/>
              </w:numPr>
              <w:spacing w:after="30" w:before="30"/>
            </w:pPr>
            <w:r>
              <w:rPr>
                <w:rFonts w:ascii="Arial" w:cs="Arial" w:eastAsia="Arial" w:hAnsi="Arial"/>
                <w:color w:val="1E293B"/>
                <w:sz w:val="19"/>
                <w:szCs w:val="19"/>
              </w:rPr>
              <w:t xml:space="preserve">DECNT token launched on Solana mainnet — supply fixed, mint disabled</w:t>
            </w:r>
          </w:p>
          <w:p>
            <w:pPr>
              <w:pStyle w:val="ListParagraph"/>
              <w:numPr>
                <w:ilvl w:val="0"/>
                <w:numId w:val="2"/>
              </w:numPr>
              <w:spacing w:after="30" w:before="30"/>
            </w:pPr>
            <w:r>
              <w:rPr>
                <w:rFonts w:ascii="Arial" w:cs="Arial" w:eastAsia="Arial" w:hAnsi="Arial"/>
                <w:color w:val="1E293B"/>
                <w:sz w:val="19"/>
                <w:szCs w:val="19"/>
              </w:rPr>
              <w:t xml:space="preserve">AI marketplace live at ai.decntai.com — users, providers, payments working</w:t>
            </w:r>
          </w:p>
          <w:p>
            <w:pPr>
              <w:pStyle w:val="ListParagraph"/>
              <w:numPr>
                <w:ilvl w:val="0"/>
                <w:numId w:val="2"/>
              </w:numPr>
              <w:spacing w:after="30" w:before="30"/>
            </w:pPr>
            <w:r>
              <w:rPr>
                <w:rFonts w:ascii="Arial" w:cs="Arial" w:eastAsia="Arial" w:hAnsi="Arial"/>
                <w:color w:val="1E293B"/>
                <w:sz w:val="19"/>
                <w:szCs w:val="19"/>
              </w:rPr>
              <w:t xml:space="preserve">Pre-ICO platform live at ico.decntai.com with airdrop task system</w:t>
            </w:r>
          </w:p>
          <w:p>
            <w:pPr>
              <w:pStyle w:val="ListParagraph"/>
              <w:numPr>
                <w:ilvl w:val="0"/>
                <w:numId w:val="2"/>
              </w:numPr>
              <w:spacing w:after="30" w:before="30"/>
            </w:pPr>
            <w:r>
              <w:rPr>
                <w:rFonts w:ascii="Arial" w:cs="Arial" w:eastAsia="Arial" w:hAnsi="Arial"/>
                <w:color w:val="1E293B"/>
                <w:sz w:val="19"/>
                <w:szCs w:val="19"/>
              </w:rPr>
              <w:t xml:space="preserve">Referral system with permanent 1% prompt share</w:t>
            </w:r>
          </w:p>
          <w:p>
            <w:pPr>
              <w:pStyle w:val="ListParagraph"/>
              <w:numPr>
                <w:ilvl w:val="0"/>
                <w:numId w:val="2"/>
              </w:numPr>
              <w:spacing w:after="30" w:before="30"/>
            </w:pPr>
            <w:r>
              <w:rPr>
                <w:rFonts w:ascii="Arial" w:cs="Arial" w:eastAsia="Arial" w:hAnsi="Arial"/>
                <w:color w:val="1E293B"/>
                <w:sz w:val="19"/>
                <w:szCs w:val="19"/>
              </w:rPr>
              <w:t xml:space="preserve">SHA-256 model hash verification on every heartbeat</w:t>
            </w:r>
          </w:p>
          <w:p>
            <w:pPr>
              <w:pStyle w:val="ListParagraph"/>
              <w:numPr>
                <w:ilvl w:val="0"/>
                <w:numId w:val="2"/>
              </w:numPr>
              <w:spacing w:after="30" w:before="30"/>
            </w:pPr>
            <w:r>
              <w:rPr>
                <w:rFonts w:ascii="Arial" w:cs="Arial" w:eastAsia="Arial" w:hAnsi="Arial"/>
                <w:color w:val="1E293B"/>
                <w:sz w:val="19"/>
                <w:szCs w:val="19"/>
              </w:rPr>
              <w:t xml:space="preserve">9 hardware tiers, 54 supported Ollama models</w:t>
            </w:r>
          </w:p>
          <w:p>
            <w:pPr>
              <w:pStyle w:val="ListParagraph"/>
              <w:numPr>
                <w:ilvl w:val="0"/>
                <w:numId w:val="2"/>
              </w:numPr>
              <w:spacing w:after="30" w:before="30"/>
            </w:pPr>
            <w:r>
              <w:rPr>
                <w:rFonts w:ascii="Arial" w:cs="Arial" w:eastAsia="Arial" w:hAnsi="Arial"/>
                <w:color w:val="1E293B"/>
                <w:sz w:val="19"/>
                <w:szCs w:val="19"/>
              </w:rPr>
              <w:t xml:space="preserve">SSH tunnel-based provider connectivity</w:t>
            </w:r>
          </w:p>
          <w:p>
            <w:pPr>
              <w:pStyle w:val="ListParagraph"/>
              <w:numPr>
                <w:ilvl w:val="0"/>
                <w:numId w:val="2"/>
              </w:numPr>
              <w:spacing w:after="30" w:before="30"/>
            </w:pPr>
            <w:r>
              <w:rPr>
                <w:rFonts w:ascii="Arial" w:cs="Arial" w:eastAsia="Arial" w:hAnsi="Arial"/>
                <w:color w:val="1E293B"/>
                <w:sz w:val="19"/>
                <w:szCs w:val="19"/>
              </w:rPr>
              <w:t xml:space="preserve">Email verification, AES-256 encrypted wallet storage</w:t>
            </w:r>
          </w:p>
        </w:tc>
      </w:tr>
      <w:tr>
        <w:tc>
          <w:tcPr>
            <w:tcW w:type="dxa" w:w="1800"/>
            <w:tcBorders>
              <w:top w:val="single" w:color="CBD5E1" w:sz="1"/>
              <w:left w:val="single" w:color="00B4D8" w:sz="12"/>
              <w:bottom w:val="single" w:color="CBD5E1" w:sz="1"/>
              <w:right w:val="single" w:color="CBD5E1" w:sz="1"/>
            </w:tcBorders>
            <w:shd w:fill="F8FAFC" w:val="clear"/>
            <w:tcMar>
              <w:top w:type="dxa" w:w="120"/>
              <w:left w:type="dxa" w:w="120"/>
              <w:bottom w:type="dxa" w:w="120"/>
              <w:right w:type="dxa" w:w="120"/>
            </w:tcMar>
            <w:vAlign w:val="center"/>
          </w:tcPr>
          <w:p>
            <w:pPr>
              <w:jc w:val="center"/>
            </w:pPr>
            <w:r>
              <w:rPr>
                <w:rFonts w:ascii="Arial" w:cs="Arial" w:eastAsia="Arial" w:hAnsi="Arial"/>
                <w:b/>
                <w:bCs/>
                <w:color w:val="00B4D8"/>
                <w:sz w:val="19"/>
                <w:szCs w:val="19"/>
              </w:rPr>
              <w:t xml:space="preserve">Q2 2026
Active</w:t>
            </w:r>
          </w:p>
        </w:tc>
        <w:tc>
          <w:tcPr>
            <w:tcW w:type="dxa" w:w="7560"/>
            <w:tcBorders>
              <w:top w:val="single" w:color="CBD5E1" w:sz="1"/>
              <w:left w:val="single" w:color="CBD5E1" w:sz="1"/>
              <w:bottom w:val="single" w:color="CBD5E1" w:sz="1"/>
              <w:right w:val="single" w:color="CBD5E1" w:sz="1"/>
            </w:tcBorders>
            <w:shd w:fill="FFFFFF" w:val="clear"/>
            <w:tcMar>
              <w:top w:type="dxa" w:w="100"/>
              <w:left w:type="dxa" w:w="140"/>
              <w:bottom w:type="dxa" w:w="100"/>
              <w:right w:type="dxa" w:w="120"/>
            </w:tcMar>
          </w:tcPr>
          <w:p>
            <w:pPr>
              <w:pStyle w:val="ListParagraph"/>
              <w:numPr>
                <w:ilvl w:val="0"/>
                <w:numId w:val="2"/>
              </w:numPr>
              <w:spacing w:after="30" w:before="30"/>
            </w:pPr>
            <w:r>
              <w:rPr>
                <w:rFonts w:ascii="Arial" w:cs="Arial" w:eastAsia="Arial" w:hAnsi="Arial"/>
                <w:color w:val="1E293B"/>
                <w:sz w:val="19"/>
                <w:szCs w:val="19"/>
              </w:rPr>
              <w:t xml:space="preserve">dcentai-runtime — replacing Ollama with purpose-built DEcentAI inference engine</w:t>
            </w:r>
          </w:p>
          <w:p>
            <w:pPr>
              <w:pStyle w:val="ListParagraph"/>
              <w:numPr>
                <w:ilvl w:val="0"/>
                <w:numId w:val="2"/>
              </w:numPr>
              <w:spacing w:after="30" w:before="30"/>
            </w:pPr>
            <w:r>
              <w:rPr>
                <w:rFonts w:ascii="Arial" w:cs="Arial" w:eastAsia="Arial" w:hAnsi="Arial"/>
                <w:color w:val="1E293B"/>
                <w:sz w:val="19"/>
                <w:szCs w:val="19"/>
              </w:rPr>
              <w:t xml:space="preserve">TPM and TEE hardware attestation for premium node tier</w:t>
            </w:r>
          </w:p>
          <w:p>
            <w:pPr>
              <w:pStyle w:val="ListParagraph"/>
              <w:numPr>
                <w:ilvl w:val="0"/>
                <w:numId w:val="2"/>
              </w:numPr>
              <w:spacing w:after="30" w:before="30"/>
            </w:pPr>
            <w:r>
              <w:rPr>
                <w:rFonts w:ascii="Arial" w:cs="Arial" w:eastAsia="Arial" w:hAnsi="Arial"/>
                <w:color w:val="1E293B"/>
                <w:sz w:val="19"/>
                <w:szCs w:val="19"/>
              </w:rPr>
              <w:t xml:space="preserve">Provider reputation scoring system with on-chain records</w:t>
            </w:r>
          </w:p>
          <w:p>
            <w:pPr>
              <w:pStyle w:val="ListParagraph"/>
              <w:numPr>
                <w:ilvl w:val="0"/>
                <w:numId w:val="2"/>
              </w:numPr>
              <w:spacing w:after="30" w:before="30"/>
            </w:pPr>
            <w:r>
              <w:rPr>
                <w:rFonts w:ascii="Arial" w:cs="Arial" w:eastAsia="Arial" w:hAnsi="Arial"/>
                <w:color w:val="1E293B"/>
                <w:sz w:val="19"/>
                <w:szCs w:val="19"/>
              </w:rPr>
              <w:t xml:space="preserve">Multi-model marketplace with real-time availability</w:t>
            </w:r>
          </w:p>
          <w:p>
            <w:pPr>
              <w:pStyle w:val="ListParagraph"/>
              <w:numPr>
                <w:ilvl w:val="0"/>
                <w:numId w:val="2"/>
              </w:numPr>
              <w:spacing w:after="30" w:before="30"/>
            </w:pPr>
            <w:r>
              <w:rPr>
                <w:rFonts w:ascii="Arial" w:cs="Arial" w:eastAsia="Arial" w:hAnsi="Arial"/>
                <w:color w:val="1E293B"/>
                <w:sz w:val="19"/>
                <w:szCs w:val="19"/>
              </w:rPr>
              <w:t xml:space="preserve">Provider withdrawal UI — direct DECNT transfer from provider wallet</w:t>
            </w:r>
          </w:p>
        </w:tc>
      </w:tr>
      <w:tr>
        <w:tc>
          <w:tcPr>
            <w:tcW w:type="dxa" w:w="1800"/>
            <w:tcBorders>
              <w:top w:val="single" w:color="CBD5E1" w:sz="1"/>
              <w:left w:val="single" w:color="8B5CF6" w:sz="12"/>
              <w:bottom w:val="single" w:color="CBD5E1" w:sz="1"/>
              <w:right w:val="single" w:color="CBD5E1" w:sz="1"/>
            </w:tcBorders>
            <w:shd w:fill="F8FAFC" w:val="clear"/>
            <w:tcMar>
              <w:top w:type="dxa" w:w="120"/>
              <w:left w:type="dxa" w:w="120"/>
              <w:bottom w:type="dxa" w:w="120"/>
              <w:right w:type="dxa" w:w="120"/>
            </w:tcMar>
            <w:vAlign w:val="center"/>
          </w:tcPr>
          <w:p>
            <w:pPr>
              <w:jc w:val="center"/>
            </w:pPr>
            <w:r>
              <w:rPr>
                <w:rFonts w:ascii="Arial" w:cs="Arial" w:eastAsia="Arial" w:hAnsi="Arial"/>
                <w:b/>
                <w:bCs/>
                <w:color w:val="8B5CF6"/>
                <w:sz w:val="19"/>
                <w:szCs w:val="19"/>
              </w:rPr>
              <w:t xml:space="preserve">Q3 2026</w:t>
            </w:r>
          </w:p>
        </w:tc>
        <w:tc>
          <w:tcPr>
            <w:tcW w:type="dxa" w:w="7560"/>
            <w:tcBorders>
              <w:top w:val="single" w:color="CBD5E1" w:sz="1"/>
              <w:left w:val="single" w:color="CBD5E1" w:sz="1"/>
              <w:bottom w:val="single" w:color="CBD5E1" w:sz="1"/>
              <w:right w:val="single" w:color="CBD5E1" w:sz="1"/>
            </w:tcBorders>
            <w:shd w:fill="F8FAFC" w:val="clear"/>
            <w:tcMar>
              <w:top w:type="dxa" w:w="100"/>
              <w:left w:type="dxa" w:w="140"/>
              <w:bottom w:type="dxa" w:w="100"/>
              <w:right w:type="dxa" w:w="120"/>
            </w:tcMar>
          </w:tcPr>
          <w:p>
            <w:pPr>
              <w:pStyle w:val="ListParagraph"/>
              <w:numPr>
                <w:ilvl w:val="0"/>
                <w:numId w:val="2"/>
              </w:numPr>
              <w:spacing w:after="30" w:before="30"/>
            </w:pPr>
            <w:r>
              <w:rPr>
                <w:rFonts w:ascii="Arial" w:cs="Arial" w:eastAsia="Arial" w:hAnsi="Arial"/>
                <w:color w:val="1E293B"/>
                <w:sz w:val="19"/>
                <w:szCs w:val="19"/>
              </w:rPr>
              <w:t xml:space="preserve">DEX listing on Raydium and Jupiter — DECNT tradeable on open markets</w:t>
            </w:r>
          </w:p>
          <w:p>
            <w:pPr>
              <w:pStyle w:val="ListParagraph"/>
              <w:numPr>
                <w:ilvl w:val="0"/>
                <w:numId w:val="2"/>
              </w:numPr>
              <w:spacing w:after="30" w:before="30"/>
            </w:pPr>
            <w:r>
              <w:rPr>
                <w:rFonts w:ascii="Arial" w:cs="Arial" w:eastAsia="Arial" w:hAnsi="Arial"/>
                <w:color w:val="1E293B"/>
                <w:sz w:val="19"/>
                <w:szCs w:val="19"/>
              </w:rPr>
              <w:t xml:space="preserve">Referral DECNT rewards — 100 DECNT per successful new referral</w:t>
            </w:r>
          </w:p>
          <w:p>
            <w:pPr>
              <w:pStyle w:val="ListParagraph"/>
              <w:numPr>
                <w:ilvl w:val="0"/>
                <w:numId w:val="2"/>
              </w:numPr>
              <w:spacing w:after="30" w:before="30"/>
            </w:pPr>
            <w:r>
              <w:rPr>
                <w:rFonts w:ascii="Arial" w:cs="Arial" w:eastAsia="Arial" w:hAnsi="Arial"/>
                <w:color w:val="1E293B"/>
                <w:sz w:val="19"/>
                <w:szCs w:val="19"/>
              </w:rPr>
              <w:t xml:space="preserve">Image generation nodes — SDXL, Flux on high-VRAM providers</w:t>
            </w:r>
          </w:p>
          <w:p>
            <w:pPr>
              <w:pStyle w:val="ListParagraph"/>
              <w:numPr>
                <w:ilvl w:val="0"/>
                <w:numId w:val="2"/>
              </w:numPr>
              <w:spacing w:after="30" w:before="30"/>
            </w:pPr>
            <w:r>
              <w:rPr>
                <w:rFonts w:ascii="Arial" w:cs="Arial" w:eastAsia="Arial" w:hAnsi="Arial"/>
                <w:color w:val="1E293B"/>
                <w:sz w:val="19"/>
                <w:szCs w:val="19"/>
              </w:rPr>
              <w:t xml:space="preserve">Voice AI nodes — Whisper STT and TTS models</w:t>
            </w:r>
          </w:p>
          <w:p>
            <w:pPr>
              <w:pStyle w:val="ListParagraph"/>
              <w:numPr>
                <w:ilvl w:val="0"/>
                <w:numId w:val="2"/>
              </w:numPr>
              <w:spacing w:after="30" w:before="30"/>
            </w:pPr>
            <w:r>
              <w:rPr>
                <w:rFonts w:ascii="Arial" w:cs="Arial" w:eastAsia="Arial" w:hAnsi="Arial"/>
                <w:color w:val="1E293B"/>
                <w:sz w:val="19"/>
                <w:szCs w:val="19"/>
              </w:rPr>
              <w:t xml:space="preserve">Provider dashboard with earnings analytics</w:t>
            </w:r>
          </w:p>
        </w:tc>
      </w:tr>
      <w:tr>
        <w:tc>
          <w:tcPr>
            <w:tcW w:type="dxa" w:w="1800"/>
            <w:tcBorders>
              <w:top w:val="single" w:color="CBD5E1" w:sz="1"/>
              <w:left w:val="single" w:color="F59E0B" w:sz="12"/>
              <w:bottom w:val="single" w:color="CBD5E1" w:sz="1"/>
              <w:right w:val="single" w:color="CBD5E1" w:sz="1"/>
            </w:tcBorders>
            <w:shd w:fill="F8FAFC" w:val="clear"/>
            <w:tcMar>
              <w:top w:type="dxa" w:w="120"/>
              <w:left w:type="dxa" w:w="120"/>
              <w:bottom w:type="dxa" w:w="120"/>
              <w:right w:type="dxa" w:w="120"/>
            </w:tcMar>
            <w:vAlign w:val="center"/>
          </w:tcPr>
          <w:p>
            <w:pPr>
              <w:jc w:val="center"/>
            </w:pPr>
            <w:r>
              <w:rPr>
                <w:rFonts w:ascii="Arial" w:cs="Arial" w:eastAsia="Arial" w:hAnsi="Arial"/>
                <w:b/>
                <w:bCs/>
                <w:color w:val="F59E0B"/>
                <w:sz w:val="19"/>
                <w:szCs w:val="19"/>
              </w:rPr>
              <w:t xml:space="preserve">Q4 2026</w:t>
            </w:r>
          </w:p>
        </w:tc>
        <w:tc>
          <w:tcPr>
            <w:tcW w:type="dxa" w:w="7560"/>
            <w:tcBorders>
              <w:top w:val="single" w:color="CBD5E1" w:sz="1"/>
              <w:left w:val="single" w:color="CBD5E1" w:sz="1"/>
              <w:bottom w:val="single" w:color="CBD5E1" w:sz="1"/>
              <w:right w:val="single" w:color="CBD5E1" w:sz="1"/>
            </w:tcBorders>
            <w:shd w:fill="FFFFFF" w:val="clear"/>
            <w:tcMar>
              <w:top w:type="dxa" w:w="100"/>
              <w:left w:type="dxa" w:w="140"/>
              <w:bottom w:type="dxa" w:w="100"/>
              <w:right w:type="dxa" w:w="120"/>
            </w:tcMar>
          </w:tcPr>
          <w:p>
            <w:pPr>
              <w:pStyle w:val="ListParagraph"/>
              <w:numPr>
                <w:ilvl w:val="0"/>
                <w:numId w:val="2"/>
              </w:numPr>
              <w:spacing w:after="30" w:before="30"/>
            </w:pPr>
            <w:r>
              <w:rPr>
                <w:rFonts w:ascii="Arial" w:cs="Arial" w:eastAsia="Arial" w:hAnsi="Arial"/>
                <w:color w:val="1E293B"/>
                <w:sz w:val="19"/>
                <w:szCs w:val="19"/>
              </w:rPr>
              <w:t xml:space="preserve">DEcentAI DAO — DECNT holders vote on platform parameters</w:t>
            </w:r>
          </w:p>
          <w:p>
            <w:pPr>
              <w:pStyle w:val="ListParagraph"/>
              <w:numPr>
                <w:ilvl w:val="0"/>
                <w:numId w:val="2"/>
              </w:numPr>
              <w:spacing w:after="30" w:before="30"/>
            </w:pPr>
            <w:r>
              <w:rPr>
                <w:rFonts w:ascii="Arial" w:cs="Arial" w:eastAsia="Arial" w:hAnsi="Arial"/>
                <w:color w:val="1E293B"/>
                <w:sz w:val="19"/>
                <w:szCs w:val="19"/>
              </w:rPr>
              <w:t xml:space="preserve">CEX listings targeting major exchanges</w:t>
            </w:r>
          </w:p>
          <w:p>
            <w:pPr>
              <w:pStyle w:val="ListParagraph"/>
              <w:numPr>
                <w:ilvl w:val="0"/>
                <w:numId w:val="2"/>
              </w:numPr>
              <w:spacing w:after="30" w:before="30"/>
            </w:pPr>
            <w:r>
              <w:rPr>
                <w:rFonts w:ascii="Arial" w:cs="Arial" w:eastAsia="Arial" w:hAnsi="Arial"/>
                <w:color w:val="1E293B"/>
                <w:sz w:val="19"/>
                <w:szCs w:val="19"/>
              </w:rPr>
              <w:t xml:space="preserve">Mobile app for prompt payments and provider monitoring</w:t>
            </w:r>
          </w:p>
          <w:p>
            <w:pPr>
              <w:pStyle w:val="ListParagraph"/>
              <w:numPr>
                <w:ilvl w:val="0"/>
                <w:numId w:val="2"/>
              </w:numPr>
              <w:spacing w:after="30" w:before="30"/>
            </w:pPr>
            <w:r>
              <w:rPr>
                <w:rFonts w:ascii="Arial" w:cs="Arial" w:eastAsia="Arial" w:hAnsi="Arial"/>
                <w:color w:val="1E293B"/>
                <w:sz w:val="19"/>
                <w:szCs w:val="19"/>
              </w:rPr>
              <w:t xml:space="preserve">Enterprise SLA tier for business customers</w:t>
            </w:r>
          </w:p>
          <w:p>
            <w:pPr>
              <w:pStyle w:val="ListParagraph"/>
              <w:numPr>
                <w:ilvl w:val="0"/>
                <w:numId w:val="2"/>
              </w:numPr>
              <w:spacing w:after="30" w:before="30"/>
            </w:pPr>
            <w:r>
              <w:rPr>
                <w:rFonts w:ascii="Arial" w:cs="Arial" w:eastAsia="Arial" w:hAnsi="Arial"/>
                <w:color w:val="1E293B"/>
                <w:sz w:val="19"/>
                <w:szCs w:val="19"/>
              </w:rPr>
              <w:t xml:space="preserve">Cross-chain bridging — DECNT on Ethereum and Base</w:t>
            </w:r>
          </w:p>
        </w:tc>
      </w:tr>
    </w:tbl>
    <w:p>
      <w:r>
        <w:br/>
      </w:r>
    </w:p>
    <w:p>
      <w:pPr>
        <w:pStyle w:val="Heading1"/>
        <w:pBdr>
          <w:bottom w:val="single" w:color="00B4D8" w:sz="6" w:space="4"/>
        </w:pBdr>
        <w:spacing w:after="120" w:before="480"/>
      </w:pPr>
      <w:r>
        <w:rPr>
          <w:rFonts w:ascii="Arial" w:cs="Arial" w:eastAsia="Arial" w:hAnsi="Arial"/>
          <w:b/>
          <w:bCs/>
          <w:color w:val="0A1628"/>
          <w:sz w:val="34"/>
          <w:szCs w:val="34"/>
        </w:rPr>
        <w:t xml:space="preserve">7. The Long-Term Vision</w:t>
      </w:r>
    </w:p>
    <w:p>
      <w:pPr>
        <w:pStyle w:val="Heading2"/>
        <w:spacing w:after="100" w:before="320"/>
      </w:pPr>
      <w:r>
        <w:rPr>
          <w:rFonts w:ascii="Arial" w:cs="Arial" w:eastAsia="Arial" w:hAnsi="Arial"/>
          <w:b/>
          <w:bCs/>
          <w:color w:val="0A1628"/>
          <w:sz w:val="26"/>
          <w:szCs w:val="26"/>
        </w:rPr>
        <w:t xml:space="preserve">7.1 AI as Public Infrastructure</w:t>
      </w:r>
    </w:p>
    <w:p>
      <w:pPr>
        <w:spacing w:after="80" w:before="60"/>
      </w:pPr>
      <w:r>
        <w:rPr>
          <w:rFonts w:ascii="Arial" w:cs="Arial" w:eastAsia="Arial" w:hAnsi="Arial"/>
          <w:color w:val="1E293B"/>
          <w:sz w:val="22"/>
          <w:szCs w:val="22"/>
        </w:rPr>
        <w:t xml:space="preserve">The most important technologies of the past century — electricity, the internet, telephony — began as luxuries controlled by private monopolies and ended as public infrastructure accessible to all. AI compute is following the same trajectory. The question is whether the public infrastructure phase happens through government regulation of existing monopolies, or through decentralized alternatives that make monopoly economically unviable.</w:t>
      </w:r>
    </w:p>
    <w:p>
      <w:pPr>
        <w:spacing w:after="80" w:before="60"/>
      </w:pPr>
      <w:r>
        <w:rPr>
          <w:rFonts w:ascii="Arial" w:cs="Arial" w:eastAsia="Arial" w:hAnsi="Arial"/>
          <w:color w:val="1E293B"/>
          <w:sz w:val="22"/>
          <w:szCs w:val="22"/>
        </w:rPr>
        <w:t xml:space="preserve">DEcentAI's thesis is the latter. When millions of GPU-equipped individuals can earn DECNT tokens by providing AI inference, the marginal cost of compute approaches zero. At that point, subscription pricing for AI becomes as absurd as subscription pricing for internet search.</w:t>
      </w:r>
    </w:p>
    <w:p>
      <w:pPr>
        <w:pStyle w:val="Heading2"/>
        <w:spacing w:after="100" w:before="320"/>
      </w:pPr>
      <w:r>
        <w:rPr>
          <w:rFonts w:ascii="Arial" w:cs="Arial" w:eastAsia="Arial" w:hAnsi="Arial"/>
          <w:b/>
          <w:bCs/>
          <w:color w:val="0A1628"/>
          <w:sz w:val="26"/>
          <w:szCs w:val="26"/>
        </w:rPr>
        <w:t xml:space="preserve">7.2 Personal Compute Sovereignty</w:t>
      </w:r>
    </w:p>
    <w:p>
      <w:pPr>
        <w:spacing w:after="80" w:before="60"/>
      </w:pPr>
      <w:r>
        <w:rPr>
          <w:rFonts w:ascii="Arial" w:cs="Arial" w:eastAsia="Arial" w:hAnsi="Arial"/>
          <w:color w:val="1E293B"/>
          <w:sz w:val="22"/>
          <w:szCs w:val="22"/>
        </w:rPr>
        <w:t xml:space="preserve">The long-term vision extends beyond AI prompts. DEcentAI's architecture — verified nodes, pay-per-use settlement, structural privacy — is a foundation for any computation that requires trust without centralization. Future applications include:</w:t>
      </w:r>
    </w:p>
    <w:p>
      <w:pPr>
        <w:pStyle w:val="ListParagraph"/>
        <w:numPr>
          <w:ilvl w:val="0"/>
          <w:numId w:val="2"/>
        </w:numPr>
        <w:spacing w:after="40" w:before="40"/>
      </w:pPr>
      <w:r>
        <w:rPr>
          <w:rFonts w:ascii="Arial" w:cs="Arial" w:eastAsia="Arial" w:hAnsi="Arial"/>
          <w:color w:val="1E293B"/>
          <w:sz w:val="21"/>
          <w:szCs w:val="21"/>
        </w:rPr>
        <w:t xml:space="preserve">Fine-tuning and training on distributed hardware</w:t>
      </w:r>
    </w:p>
    <w:p>
      <w:pPr>
        <w:pStyle w:val="ListParagraph"/>
        <w:numPr>
          <w:ilvl w:val="0"/>
          <w:numId w:val="2"/>
        </w:numPr>
        <w:spacing w:after="40" w:before="40"/>
      </w:pPr>
      <w:r>
        <w:rPr>
          <w:rFonts w:ascii="Arial" w:cs="Arial" w:eastAsia="Arial" w:hAnsi="Arial"/>
          <w:color w:val="1E293B"/>
          <w:sz w:val="21"/>
          <w:szCs w:val="21"/>
        </w:rPr>
        <w:t xml:space="preserve">Privacy-preserving data analysis — run computations on sensitive data without exposing it</w:t>
      </w:r>
    </w:p>
    <w:p>
      <w:pPr>
        <w:pStyle w:val="ListParagraph"/>
        <w:numPr>
          <w:ilvl w:val="0"/>
          <w:numId w:val="2"/>
        </w:numPr>
        <w:spacing w:after="40" w:before="40"/>
      </w:pPr>
      <w:r>
        <w:rPr>
          <w:rFonts w:ascii="Arial" w:cs="Arial" w:eastAsia="Arial" w:hAnsi="Arial"/>
          <w:color w:val="1E293B"/>
          <w:sz w:val="21"/>
          <w:szCs w:val="21"/>
        </w:rPr>
        <w:t xml:space="preserve">Edge AI inference for IoT and embedded systems</w:t>
      </w:r>
    </w:p>
    <w:p>
      <w:pPr>
        <w:pStyle w:val="ListParagraph"/>
        <w:numPr>
          <w:ilvl w:val="0"/>
          <w:numId w:val="2"/>
        </w:numPr>
        <w:spacing w:after="40" w:before="40"/>
      </w:pPr>
      <w:r>
        <w:rPr>
          <w:rFonts w:ascii="Arial" w:cs="Arial" w:eastAsia="Arial" w:hAnsi="Arial"/>
          <w:color w:val="1E293B"/>
          <w:sz w:val="21"/>
          <w:szCs w:val="21"/>
        </w:rPr>
        <w:t xml:space="preserve">Scientific computing — molecular simulation, climate modeling, genetic analysis</w:t>
      </w:r>
    </w:p>
    <w:p>
      <w:pPr>
        <w:pStyle w:val="ListParagraph"/>
        <w:numPr>
          <w:ilvl w:val="0"/>
          <w:numId w:val="2"/>
        </w:numPr>
        <w:spacing w:after="40" w:before="40"/>
      </w:pPr>
      <w:r>
        <w:rPr>
          <w:rFonts w:ascii="Arial" w:cs="Arial" w:eastAsia="Arial" w:hAnsi="Arial"/>
          <w:color w:val="1E293B"/>
          <w:sz w:val="21"/>
          <w:szCs w:val="21"/>
        </w:rPr>
        <w:t xml:space="preserve">Personal AI assistants that run exclusively on hardware controlled by the user</w:t>
      </w:r>
    </w:p>
    <w:p>
      <w:pPr>
        <w:pStyle w:val="Heading2"/>
        <w:spacing w:after="100" w:before="320"/>
      </w:pPr>
      <w:r>
        <w:rPr>
          <w:rFonts w:ascii="Arial" w:cs="Arial" w:eastAsia="Arial" w:hAnsi="Arial"/>
          <w:b/>
          <w:bCs/>
          <w:color w:val="0A1628"/>
          <w:sz w:val="26"/>
          <w:szCs w:val="26"/>
        </w:rPr>
        <w:t xml:space="preserve">7.3 Why This Matters Now</w:t>
      </w:r>
    </w:p>
    <w:p>
      <w:pPr>
        <w:spacing w:after="80" w:before="60"/>
      </w:pPr>
      <w:r>
        <w:rPr>
          <w:rFonts w:ascii="Arial" w:cs="Arial" w:eastAsia="Arial" w:hAnsi="Arial"/>
          <w:color w:val="1E293B"/>
          <w:sz w:val="22"/>
          <w:szCs w:val="22"/>
        </w:rPr>
        <w:t xml:space="preserve">The window for establishing decentralized AI infrastructure is narrow. As AI systems become more capable and more economically critical, the incentive for incumbents to prevent competition grows. Regulatory capture, API restrictions, and terms-of-service changes are already being used to limit third-party access to AI capabilities.</w:t>
      </w:r>
    </w:p>
    <w:p>
      <w:pPr>
        <w:spacing w:after="80" w:before="60"/>
      </w:pPr>
      <w:r>
        <w:rPr>
          <w:rFonts w:ascii="Arial" w:cs="Arial" w:eastAsia="Arial" w:hAnsi="Arial"/>
          <w:color w:val="1E293B"/>
          <w:sz w:val="22"/>
          <w:szCs w:val="22"/>
        </w:rPr>
        <w:t xml:space="preserve">DEcentAI is being built now, while the technology is young enough that decentralized alternatives can compete on merit. Every provider node added to the network, every user who experiences structural privacy, every referral link shared — these are not just transactions. They are votes for a different kind of AI future.</w:t>
      </w:r>
    </w:p>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80"/>
          <w:bottom w:type="dxa" w:w="80"/>
        </w:tblCellMar>
      </w:tblPr>
      <w:tblGrid>
        <w:gridCol w:w="200"/>
        <w:gridCol w:w="9160"/>
      </w:tblGrid>
      <w:tr>
        <w:tc>
          <w:tcPr>
            <w:tcW w:type="dxa" w:w="200"/>
            <w:tcBorders>
              <w:top w:val="none" w:color="FFFFFF" w:sz="0"/>
              <w:left w:val="none" w:color="FFFFFF" w:sz="0"/>
              <w:bottom w:val="none" w:color="FFFFFF" w:sz="0"/>
              <w:right w:val="none" w:color="FFFFFF" w:sz="0"/>
            </w:tcBorders>
            <w:shd w:fill="00B4D8" w:val="clear"/>
          </w:tcPr>
          <w:p/>
        </w:tc>
        <w:tc>
          <w:tcPr>
            <w:tcW w:type="dxa" w:w="9160"/>
            <w:tcBorders>
              <w:top w:val="none" w:color="FFFFFF" w:sz="0"/>
              <w:left w:val="single" w:color="00B4D8" w:sz="12"/>
              <w:bottom w:val="none" w:color="FFFFFF" w:sz="0"/>
              <w:right w:val="none" w:color="FFFFFF" w:sz="0"/>
            </w:tcBorders>
            <w:shd w:fill="F8FAFC" w:val="clear"/>
            <w:tcMar>
              <w:top w:type="dxa" w:w="80"/>
              <w:left w:type="dxa" w:w="200"/>
              <w:bottom w:type="dxa" w:w="80"/>
              <w:right w:type="dxa" w:w="120"/>
            </w:tcMar>
          </w:tcPr>
          <w:p>
            <w:pPr>
              <w:spacing w:after="40" w:before="0"/>
            </w:pPr>
            <w:r>
              <w:rPr>
                <w:rFonts w:ascii="Arial" w:cs="Arial" w:eastAsia="Arial" w:hAnsi="Arial"/>
                <w:b/>
                <w:bCs/>
                <w:color w:val="00B4D8"/>
                <w:sz w:val="18"/>
                <w:szCs w:val="18"/>
              </w:rPr>
              <w:t xml:space="preserve">The Bet</w:t>
            </w:r>
          </w:p>
          <w:p>
            <w:pPr>
              <w:spacing w:after="0" w:before="0"/>
            </w:pPr>
            <w:r>
              <w:rPr>
                <w:rFonts w:ascii="Arial" w:cs="Arial" w:eastAsia="Arial" w:hAnsi="Arial"/>
                <w:color w:val="334155"/>
                <w:sz w:val="20"/>
                <w:szCs w:val="20"/>
              </w:rPr>
              <w:t xml:space="preserve">We are betting that enough individuals value privacy, economic participation, and technological autonomy to build a network that makes centralized AI monopolies economically irrelevant. We think that bet is correct. The Pre-ICO is your opportunity to join before the market prices in that possibility.</w:t>
            </w:r>
          </w:p>
        </w:tc>
      </w:tr>
    </w:tbl>
    <w:p>
      <w:r>
        <w:br/>
      </w:r>
    </w:p>
    <w:p>
      <w:pPr>
        <w:pStyle w:val="Heading1"/>
        <w:pBdr>
          <w:bottom w:val="single" w:color="00B4D8" w:sz="6" w:space="4"/>
        </w:pBdr>
        <w:spacing w:after="120" w:before="480"/>
      </w:pPr>
      <w:r>
        <w:rPr>
          <w:rFonts w:ascii="Arial" w:cs="Arial" w:eastAsia="Arial" w:hAnsi="Arial"/>
          <w:b/>
          <w:bCs/>
          <w:color w:val="0A1628"/>
          <w:sz w:val="34"/>
          <w:szCs w:val="34"/>
        </w:rPr>
        <w:t xml:space="preserve">8. Conclusion</w:t>
      </w:r>
    </w:p>
    <w:p>
      <w:pPr>
        <w:spacing w:after="80" w:before="60"/>
      </w:pPr>
      <w:r>
        <w:rPr>
          <w:rFonts w:ascii="Arial" w:cs="Arial" w:eastAsia="Arial" w:hAnsi="Arial"/>
          <w:color w:val="1E293B"/>
          <w:sz w:val="22"/>
          <w:szCs w:val="22"/>
        </w:rPr>
        <w:t xml:space="preserve">DEcentAI is not a whitepaper about future possibilities. It is documentation of a working system. The marketplace is live. Providers are earning DECNT. Users are sending prompts without their data leaving the host machine. The token is on Solana mainnet with its supply permanently fixed.</w:t>
      </w:r>
    </w:p>
    <w:p>
      <w:pPr>
        <w:spacing w:after="80" w:before="60"/>
      </w:pPr>
      <w:r>
        <w:rPr>
          <w:rFonts w:ascii="Arial" w:cs="Arial" w:eastAsia="Arial" w:hAnsi="Arial"/>
          <w:color w:val="1E293B"/>
          <w:sz w:val="22"/>
          <w:szCs w:val="22"/>
        </w:rPr>
        <w:t xml:space="preserve">What comes next is scale. More providers means more model choice and lower prices for users. More users means more income for providers. The referral system means growth compounds — each new user potentially brings their own network.</w:t>
      </w:r>
    </w:p>
    <w:p>
      <w:pPr>
        <w:spacing w:after="80" w:before="60"/>
      </w:pPr>
      <w:r>
        <w:rPr>
          <w:rFonts w:ascii="Arial" w:cs="Arial" w:eastAsia="Arial" w:hAnsi="Arial"/>
          <w:color w:val="1E293B"/>
          <w:sz w:val="22"/>
          <w:szCs w:val="22"/>
        </w:rPr>
        <w:t xml:space="preserve">The Pre-ICO at 1 SOL = 1,000 DECNT (plus 20% early bird bonus) is the earliest point at which external participants can join the network. After the Pre-ICO, prices will increase. After the DEX listing in Q3 2026, price will be determined by the open market.</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single" w:color="00B4D8" w:sz="8"/>
              <w:bottom w:val="none" w:color="FFFFFF" w:sz="0"/>
              <w:right w:val="none" w:color="FFFFFF" w:sz="0"/>
            </w:tcBorders>
            <w:tcMar>
              <w:top w:type="dxa" w:w="100"/>
              <w:left w:type="dxa" w:w="160"/>
              <w:bottom w:type="dxa" w:w="100"/>
              <w:right w:type="dxa" w:w="80"/>
            </w:tcMar>
          </w:tcPr>
          <w:p>
            <w:r>
              <w:rPr>
                <w:rFonts w:ascii="Arial" w:cs="Arial" w:eastAsia="Arial" w:hAnsi="Arial"/>
                <w:b/>
                <w:bCs/>
                <w:color w:val="00B4D8"/>
                <w:sz w:val="22"/>
                <w:szCs w:val="22"/>
              </w:rPr>
              <w:t xml:space="preserve">Buy DECNT</w:t>
            </w:r>
          </w:p>
          <w:p>
            <w:r>
              <w:rPr>
                <w:rFonts w:ascii="Arial" w:cs="Arial" w:eastAsia="Arial" w:hAnsi="Arial"/>
                <w:color w:val="0A1628"/>
                <w:sz w:val="20"/>
                <w:szCs w:val="20"/>
              </w:rPr>
              <w:t xml:space="preserve">ico.decntai.com</w:t>
            </w:r>
          </w:p>
        </w:tc>
        <w:tc>
          <w:tcPr>
            <w:tcW w:type="dxa" w:w="3120"/>
            <w:tcBorders>
              <w:top w:val="none" w:color="FFFFFF" w:sz="0"/>
              <w:left w:val="single" w:color="10B981" w:sz="8"/>
              <w:bottom w:val="none" w:color="FFFFFF" w:sz="0"/>
              <w:right w:val="none" w:color="FFFFFF" w:sz="0"/>
            </w:tcBorders>
            <w:tcMar>
              <w:top w:type="dxa" w:w="100"/>
              <w:left w:type="dxa" w:w="160"/>
              <w:bottom w:type="dxa" w:w="100"/>
              <w:right w:type="dxa" w:w="80"/>
            </w:tcMar>
          </w:tcPr>
          <w:p>
            <w:r>
              <w:rPr>
                <w:rFonts w:ascii="Arial" w:cs="Arial" w:eastAsia="Arial" w:hAnsi="Arial"/>
                <w:b/>
                <w:bCs/>
                <w:color w:val="10B981"/>
                <w:sz w:val="22"/>
                <w:szCs w:val="22"/>
              </w:rPr>
              <w:t xml:space="preserve">Start Hosting</w:t>
            </w:r>
          </w:p>
          <w:p>
            <w:r>
              <w:rPr>
                <w:rFonts w:ascii="Arial" w:cs="Arial" w:eastAsia="Arial" w:hAnsi="Arial"/>
                <w:color w:val="0A1628"/>
                <w:sz w:val="20"/>
                <w:szCs w:val="20"/>
              </w:rPr>
              <w:t xml:space="preserve">ai.decntai.com</w:t>
            </w:r>
          </w:p>
        </w:tc>
        <w:tc>
          <w:tcPr>
            <w:tcW w:type="dxa" w:w="3120"/>
            <w:tcBorders>
              <w:top w:val="none" w:color="FFFFFF" w:sz="0"/>
              <w:left w:val="single" w:color="8B5CF6" w:sz="8"/>
              <w:bottom w:val="none" w:color="FFFFFF" w:sz="0"/>
              <w:right w:val="none" w:color="FFFFFF" w:sz="0"/>
            </w:tcBorders>
            <w:tcMar>
              <w:top w:type="dxa" w:w="100"/>
              <w:left w:type="dxa" w:w="160"/>
              <w:bottom w:type="dxa" w:w="100"/>
              <w:right w:type="dxa" w:w="80"/>
            </w:tcMar>
          </w:tcPr>
          <w:p>
            <w:r>
              <w:rPr>
                <w:rFonts w:ascii="Arial" w:cs="Arial" w:eastAsia="Arial" w:hAnsi="Arial"/>
                <w:b/>
                <w:bCs/>
                <w:color w:val="8B5CF6"/>
                <w:sz w:val="22"/>
                <w:szCs w:val="22"/>
              </w:rPr>
              <w:t xml:space="preserve">Join Community</w:t>
            </w:r>
          </w:p>
          <w:p>
            <w:r>
              <w:rPr>
                <w:rFonts w:ascii="Arial" w:cs="Arial" w:eastAsia="Arial" w:hAnsi="Arial"/>
                <w:color w:val="0A1628"/>
                <w:sz w:val="20"/>
                <w:szCs w:val="20"/>
              </w:rPr>
              <w:t xml:space="preserve">t.me/decntai1</w:t>
            </w:r>
          </w:p>
        </w:tc>
      </w:tr>
    </w:tbl>
    <w:p>
      <w:pPr>
        <w:spacing w:after="0" w:before="120"/>
      </w:pPr>
    </w:p>
    <w:p>
      <w:pPr>
        <w:spacing w:after="80" w:before="160"/>
        <w:jc w:val="center"/>
      </w:pPr>
      <w:r>
        <w:rPr>
          <w:rFonts w:ascii="Arial" w:cs="Arial" w:eastAsia="Arial" w:hAnsi="Arial"/>
          <w:i/>
          <w:iCs/>
          <w:color w:val="00B4D8"/>
          <w:sz w:val="26"/>
          <w:szCs w:val="26"/>
        </w:rPr>
        <w:t xml:space="preserve">"Your hardware. Your rules. Your earnings."</w:t>
      </w:r>
    </w:p>
    <w:p>
      <w:pPr>
        <w:jc w:val="center"/>
      </w:pPr>
      <w:r>
        <w:rPr>
          <w:rFonts w:ascii="Arial" w:cs="Arial" w:eastAsia="Arial" w:hAnsi="Arial"/>
          <w:color w:val="64748B"/>
          <w:sz w:val="18"/>
          <w:szCs w:val="18"/>
        </w:rPr>
        <w:t xml:space="preserve">DEcentAI — April 2026 — decntai.com</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space="4"/>
      </w:pBdr>
      <w:jc w:val="center"/>
    </w:pPr>
    <w:r>
      <w:rPr>
        <w:rFonts w:ascii="Arial" w:cs="Arial" w:eastAsia="Arial" w:hAnsi="Arial"/>
        <w:color w:val="94A3B8"/>
        <w:sz w:val="16"/>
        <w:szCs w:val="16"/>
      </w:rPr>
      <w:t xml:space="preserve">decntai.com  |  ai.decntai.com  |  ico.decntai.com  |  Page </w:t>
    </w:r>
    <w:r>
      <w:rPr>
        <w:rFonts w:ascii="Arial" w:cs="Arial" w:eastAsia="Arial" w:hAnsi="Arial"/>
        <w:color w:val="94A3B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8F0" w:sz="2" w:space="4"/>
      </w:pBdr>
      <w:jc w:val="right"/>
    </w:pPr>
    <w:r>
      <w:rPr>
        <w:rFonts w:ascii="Arial" w:cs="Arial" w:eastAsia="Arial" w:hAnsi="Arial"/>
        <w:color w:val="94A3B8"/>
        <w:sz w:val="16"/>
        <w:szCs w:val="16"/>
      </w:rPr>
      <w:t xml:space="preserve">DEcentAI — Whitepaper v2.0  |  April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color w:val="00B4D8"/>
      </w:r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480"/>
      <w:outlineLvl w:val="0"/>
    </w:pPr>
    <w:rPr>
      <w:rFonts w:ascii="Arial" w:cs="Arial" w:eastAsia="Arial" w:hAnsi="Arial"/>
      <w:b/>
      <w:bCs/>
      <w:color w:val="0A1628"/>
      <w:sz w:val="34"/>
      <w:szCs w:val="34"/>
    </w:rPr>
  </w:style>
  <w:style w:type="paragraph" w:styleId="Heading2">
    <w:name w:val="Heading 2"/>
    <w:basedOn w:val="Normal"/>
    <w:next w:val="Normal"/>
    <w:qFormat/>
    <w:pPr>
      <w:spacing w:after="100" w:before="320"/>
      <w:outlineLvl w:val="1"/>
    </w:pPr>
    <w:rPr>
      <w:rFonts w:ascii="Arial" w:cs="Arial" w:eastAsia="Arial" w:hAnsi="Arial"/>
      <w:b/>
      <w:bCs/>
      <w:color w:val="0A1628"/>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2026-04-11T08:28:34.909Z</dcterms:created>
  <dcterms:modified xsi:type="dcterms:W3CDTF">2026-04-11T08:28:34.910Z</dcterms:modified>
</cp:coreProperties>
</file>

<file path=docProps/custom.xml><?xml version="1.0" encoding="utf-8"?>
<Properties xmlns="http://schemas.openxmlformats.org/officeDocument/2006/custom-properties" xmlns:vt="http://schemas.openxmlformats.org/officeDocument/2006/docPropsVTypes"/>
</file>